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15092" w14:textId="0E91792D" w:rsidR="00140796" w:rsidRPr="00A179C6" w:rsidRDefault="00A179C6">
      <w:pPr>
        <w:rPr>
          <w:lang w:val="en-US"/>
        </w:rPr>
      </w:pPr>
      <w:r w:rsidRPr="00A179C6">
        <w:rPr>
          <w:b/>
          <w:bCs/>
          <w:lang w:val="en-US"/>
        </w:rPr>
        <w:t>Supplementary File 2.</w:t>
      </w:r>
      <w:r w:rsidRPr="00A179C6">
        <w:rPr>
          <w:lang w:val="en-US"/>
        </w:rPr>
        <w:t xml:space="preserve"> Characteristics of the Included Studies in the Narrative Synthesis</w:t>
      </w:r>
    </w:p>
    <w:tbl>
      <w:tblPr>
        <w:tblW w:w="13568" w:type="dxa"/>
        <w:tblInd w:w="-5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4A0" w:firstRow="1" w:lastRow="0" w:firstColumn="1" w:lastColumn="0" w:noHBand="0" w:noVBand="1"/>
      </w:tblPr>
      <w:tblGrid>
        <w:gridCol w:w="1333"/>
        <w:gridCol w:w="450"/>
        <w:gridCol w:w="1744"/>
        <w:gridCol w:w="954"/>
        <w:gridCol w:w="636"/>
        <w:gridCol w:w="1302"/>
        <w:gridCol w:w="1011"/>
        <w:gridCol w:w="1147"/>
        <w:gridCol w:w="1163"/>
        <w:gridCol w:w="984"/>
        <w:gridCol w:w="1573"/>
        <w:gridCol w:w="1271"/>
      </w:tblGrid>
      <w:tr w:rsidR="00A179C6" w:rsidRPr="0012240D" w14:paraId="08F2401C" w14:textId="77777777" w:rsidTr="0012240D">
        <w:trPr>
          <w:trHeight w:val="795"/>
        </w:trPr>
        <w:tc>
          <w:tcPr>
            <w:tcW w:w="1333" w:type="dxa"/>
            <w:vAlign w:val="center"/>
            <w:hideMark/>
          </w:tcPr>
          <w:p w14:paraId="02B70D57"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Citation</w:t>
            </w:r>
          </w:p>
        </w:tc>
        <w:tc>
          <w:tcPr>
            <w:tcW w:w="652" w:type="dxa"/>
            <w:vAlign w:val="center"/>
            <w:hideMark/>
          </w:tcPr>
          <w:p w14:paraId="43876B84"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Year</w:t>
            </w:r>
          </w:p>
        </w:tc>
        <w:tc>
          <w:tcPr>
            <w:tcW w:w="1542" w:type="dxa"/>
            <w:vAlign w:val="center"/>
            <w:hideMark/>
          </w:tcPr>
          <w:p w14:paraId="7DCC3DB7"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Study Design</w:t>
            </w:r>
          </w:p>
        </w:tc>
        <w:tc>
          <w:tcPr>
            <w:tcW w:w="954" w:type="dxa"/>
            <w:vAlign w:val="center"/>
            <w:hideMark/>
          </w:tcPr>
          <w:p w14:paraId="1F688640"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Design Category</w:t>
            </w:r>
          </w:p>
        </w:tc>
        <w:tc>
          <w:tcPr>
            <w:tcW w:w="636" w:type="dxa"/>
            <w:vAlign w:val="center"/>
            <w:hideMark/>
          </w:tcPr>
          <w:p w14:paraId="07F306F7"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Sample Size (N)</w:t>
            </w:r>
          </w:p>
        </w:tc>
        <w:tc>
          <w:tcPr>
            <w:tcW w:w="1302" w:type="dxa"/>
            <w:vAlign w:val="center"/>
            <w:hideMark/>
          </w:tcPr>
          <w:p w14:paraId="115EF0AC"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Age Range</w:t>
            </w:r>
          </w:p>
        </w:tc>
        <w:tc>
          <w:tcPr>
            <w:tcW w:w="1011" w:type="dxa"/>
            <w:vAlign w:val="center"/>
            <w:hideMark/>
          </w:tcPr>
          <w:p w14:paraId="7C2EEDC1"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Population</w:t>
            </w:r>
          </w:p>
        </w:tc>
        <w:tc>
          <w:tcPr>
            <w:tcW w:w="1147" w:type="dxa"/>
            <w:vAlign w:val="center"/>
            <w:hideMark/>
          </w:tcPr>
          <w:p w14:paraId="2F640CAA"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Misinformation Type</w:t>
            </w:r>
          </w:p>
        </w:tc>
        <w:tc>
          <w:tcPr>
            <w:tcW w:w="1163" w:type="dxa"/>
            <w:vAlign w:val="center"/>
            <w:hideMark/>
          </w:tcPr>
          <w:p w14:paraId="2C46906E"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Misinformation Domain</w:t>
            </w:r>
          </w:p>
        </w:tc>
        <w:tc>
          <w:tcPr>
            <w:tcW w:w="984" w:type="dxa"/>
            <w:vAlign w:val="center"/>
            <w:hideMark/>
          </w:tcPr>
          <w:p w14:paraId="2A1F880E"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Platform(s)</w:t>
            </w:r>
          </w:p>
        </w:tc>
        <w:tc>
          <w:tcPr>
            <w:tcW w:w="1573" w:type="dxa"/>
            <w:vAlign w:val="center"/>
            <w:hideMark/>
          </w:tcPr>
          <w:p w14:paraId="16B34E7D"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Outcomes Assessed</w:t>
            </w:r>
          </w:p>
        </w:tc>
        <w:tc>
          <w:tcPr>
            <w:tcW w:w="1271" w:type="dxa"/>
            <w:vAlign w:val="center"/>
            <w:hideMark/>
          </w:tcPr>
          <w:p w14:paraId="77D6DD3C" w14:textId="77777777" w:rsidR="00A179C6" w:rsidRPr="0012240D" w:rsidRDefault="00A179C6" w:rsidP="00A179C6">
            <w:pPr>
              <w:spacing w:after="0" w:line="240" w:lineRule="auto"/>
              <w:jc w:val="center"/>
              <w:rPr>
                <w:rFonts w:ascii="Arial Narrow" w:eastAsia="Times New Roman" w:hAnsi="Arial Narrow" w:cs="Arial"/>
                <w:b/>
                <w:bCs/>
                <w:kern w:val="0"/>
                <w:sz w:val="20"/>
                <w:szCs w:val="20"/>
                <w:lang w:val="en-US" w:eastAsia="es-CL"/>
                <w14:ligatures w14:val="none"/>
              </w:rPr>
            </w:pPr>
            <w:r w:rsidRPr="0012240D">
              <w:rPr>
                <w:rFonts w:ascii="Arial Narrow" w:eastAsia="Times New Roman" w:hAnsi="Arial Narrow" w:cs="Arial"/>
                <w:b/>
                <w:bCs/>
                <w:kern w:val="0"/>
                <w:sz w:val="20"/>
                <w:szCs w:val="20"/>
                <w:lang w:val="en-US" w:eastAsia="es-CL"/>
                <w14:ligatures w14:val="none"/>
              </w:rPr>
              <w:t>Key Findings</w:t>
            </w:r>
          </w:p>
        </w:tc>
      </w:tr>
      <w:tr w:rsidR="00A179C6" w:rsidRPr="0012240D" w14:paraId="671DCC86" w14:textId="77777777" w:rsidTr="0012240D">
        <w:trPr>
          <w:trHeight w:val="1200"/>
        </w:trPr>
        <w:tc>
          <w:tcPr>
            <w:tcW w:w="1333" w:type="dxa"/>
            <w:hideMark/>
          </w:tcPr>
          <w:p w14:paraId="509228A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Baptista et al., 2022</w:t>
            </w:r>
          </w:p>
        </w:tc>
        <w:tc>
          <w:tcPr>
            <w:tcW w:w="652" w:type="dxa"/>
            <w:hideMark/>
          </w:tcPr>
          <w:p w14:paraId="122E1DC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2022</w:t>
            </w:r>
          </w:p>
        </w:tc>
        <w:tc>
          <w:tcPr>
            <w:tcW w:w="1542" w:type="dxa"/>
            <w:hideMark/>
          </w:tcPr>
          <w:p w14:paraId="55AC7BF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551D2BF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5B2B9BA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716</w:t>
            </w:r>
          </w:p>
        </w:tc>
        <w:tc>
          <w:tcPr>
            <w:tcW w:w="1302" w:type="dxa"/>
            <w:hideMark/>
          </w:tcPr>
          <w:p w14:paraId="32FE82F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15-18</w:t>
            </w:r>
          </w:p>
        </w:tc>
        <w:tc>
          <w:tcPr>
            <w:tcW w:w="1011" w:type="dxa"/>
            <w:hideMark/>
          </w:tcPr>
          <w:p w14:paraId="36CF39B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High school students (Mage=16.63)</w:t>
            </w:r>
          </w:p>
        </w:tc>
        <w:tc>
          <w:tcPr>
            <w:tcW w:w="1147" w:type="dxa"/>
            <w:hideMark/>
          </w:tcPr>
          <w:p w14:paraId="46E7362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Fake news (general/social)</w:t>
            </w:r>
          </w:p>
        </w:tc>
        <w:tc>
          <w:tcPr>
            <w:tcW w:w="1163" w:type="dxa"/>
            <w:hideMark/>
          </w:tcPr>
          <w:p w14:paraId="2F15EB0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General misinformation</w:t>
            </w:r>
          </w:p>
        </w:tc>
        <w:tc>
          <w:tcPr>
            <w:tcW w:w="984" w:type="dxa"/>
            <w:hideMark/>
          </w:tcPr>
          <w:p w14:paraId="76E682D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(multi-platform, unspecified)</w:t>
            </w:r>
          </w:p>
        </w:tc>
        <w:tc>
          <w:tcPr>
            <w:tcW w:w="1573" w:type="dxa"/>
            <w:hideMark/>
          </w:tcPr>
          <w:p w14:paraId="0435A83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Fake news belief, information-seeking strategies, critical evaluation skills</w:t>
            </w:r>
          </w:p>
        </w:tc>
        <w:tc>
          <w:tcPr>
            <w:tcW w:w="1271" w:type="dxa"/>
            <w:hideMark/>
          </w:tcPr>
          <w:p w14:paraId="19838F5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716 high school students surveyed. Significant proportion believed fake news without verification. Higher social media use associated with greater susceptibility. Critical evaluation strategies underdeveloped. Information-seeking behaviors weakly correlated with accuracy-checking.</w:t>
            </w:r>
          </w:p>
        </w:tc>
      </w:tr>
      <w:tr w:rsidR="00A179C6" w:rsidRPr="0012240D" w14:paraId="6C314840" w14:textId="77777777" w:rsidTr="0012240D">
        <w:trPr>
          <w:trHeight w:val="960"/>
        </w:trPr>
        <w:tc>
          <w:tcPr>
            <w:tcW w:w="1333" w:type="dxa"/>
            <w:hideMark/>
          </w:tcPr>
          <w:p w14:paraId="7D3C100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Belova et al., 2022</w:t>
            </w:r>
          </w:p>
        </w:tc>
        <w:tc>
          <w:tcPr>
            <w:tcW w:w="652" w:type="dxa"/>
            <w:hideMark/>
          </w:tcPr>
          <w:p w14:paraId="0441186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2022</w:t>
            </w:r>
          </w:p>
        </w:tc>
        <w:tc>
          <w:tcPr>
            <w:tcW w:w="1542" w:type="dxa"/>
            <w:hideMark/>
          </w:tcPr>
          <w:p w14:paraId="7C32A99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Qualitative - group discussions</w:t>
            </w:r>
          </w:p>
        </w:tc>
        <w:tc>
          <w:tcPr>
            <w:tcW w:w="954" w:type="dxa"/>
            <w:hideMark/>
          </w:tcPr>
          <w:p w14:paraId="3EA0B53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Qualitative</w:t>
            </w:r>
          </w:p>
        </w:tc>
        <w:tc>
          <w:tcPr>
            <w:tcW w:w="636" w:type="dxa"/>
            <w:hideMark/>
          </w:tcPr>
          <w:p w14:paraId="3654AAA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33</w:t>
            </w:r>
          </w:p>
        </w:tc>
        <w:tc>
          <w:tcPr>
            <w:tcW w:w="1302" w:type="dxa"/>
            <w:hideMark/>
          </w:tcPr>
          <w:p w14:paraId="692411A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14-18</w:t>
            </w:r>
          </w:p>
        </w:tc>
        <w:tc>
          <w:tcPr>
            <w:tcW w:w="1011" w:type="dxa"/>
            <w:hideMark/>
          </w:tcPr>
          <w:p w14:paraId="4CAE8AC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Secondary school students, northern Germany</w:t>
            </w:r>
          </w:p>
        </w:tc>
        <w:tc>
          <w:tcPr>
            <w:tcW w:w="1147" w:type="dxa"/>
            <w:hideMark/>
          </w:tcPr>
          <w:p w14:paraId="5F0F94D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Science-based misinformation</w:t>
            </w:r>
          </w:p>
        </w:tc>
        <w:tc>
          <w:tcPr>
            <w:tcW w:w="1163" w:type="dxa"/>
            <w:hideMark/>
          </w:tcPr>
          <w:p w14:paraId="73CDE90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w:t>
            </w:r>
          </w:p>
        </w:tc>
        <w:tc>
          <w:tcPr>
            <w:tcW w:w="984" w:type="dxa"/>
            <w:hideMark/>
          </w:tcPr>
          <w:p w14:paraId="3D72759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unspecified)</w:t>
            </w:r>
          </w:p>
        </w:tc>
        <w:tc>
          <w:tcPr>
            <w:tcW w:w="1573" w:type="dxa"/>
            <w:hideMark/>
          </w:tcPr>
          <w:p w14:paraId="6B16AC1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Critical evaluation strategies, media literacy behaviors</w:t>
            </w:r>
          </w:p>
        </w:tc>
        <w:tc>
          <w:tcPr>
            <w:tcW w:w="1271" w:type="dxa"/>
            <w:hideMark/>
          </w:tcPr>
          <w:p w14:paraId="5FD43CE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Group discussions identified heterogeneous evaluation strategies. Students </w:t>
            </w:r>
            <w:r w:rsidRPr="0012240D">
              <w:rPr>
                <w:rFonts w:ascii="Arial Narrow" w:eastAsia="Times New Roman" w:hAnsi="Arial Narrow" w:cs="Arial"/>
                <w:kern w:val="0"/>
                <w:sz w:val="20"/>
                <w:szCs w:val="20"/>
                <w:lang w:val="en-US" w:eastAsia="es-CL"/>
                <w14:ligatures w14:val="none"/>
              </w:rPr>
              <w:lastRenderedPageBreak/>
              <w:t>lacked systematic fact-checking. Social context and peer dynamics influenced epistemic practices. Peer comparison dominated over evidence-based verification.</w:t>
            </w:r>
          </w:p>
        </w:tc>
      </w:tr>
      <w:tr w:rsidR="00A179C6" w:rsidRPr="0012240D" w14:paraId="6903AC02" w14:textId="77777777" w:rsidTr="0012240D">
        <w:trPr>
          <w:trHeight w:val="960"/>
        </w:trPr>
        <w:tc>
          <w:tcPr>
            <w:tcW w:w="1333" w:type="dxa"/>
            <w:hideMark/>
          </w:tcPr>
          <w:p w14:paraId="39ADB36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Bernsteiner et al., 2023</w:t>
            </w:r>
          </w:p>
        </w:tc>
        <w:tc>
          <w:tcPr>
            <w:tcW w:w="652" w:type="dxa"/>
            <w:hideMark/>
          </w:tcPr>
          <w:p w14:paraId="57C7CBC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2023</w:t>
            </w:r>
          </w:p>
        </w:tc>
        <w:tc>
          <w:tcPr>
            <w:tcW w:w="1542" w:type="dxa"/>
            <w:hideMark/>
          </w:tcPr>
          <w:p w14:paraId="0326766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methods</w:t>
            </w:r>
          </w:p>
        </w:tc>
        <w:tc>
          <w:tcPr>
            <w:tcW w:w="954" w:type="dxa"/>
            <w:hideMark/>
          </w:tcPr>
          <w:p w14:paraId="7598FE3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methods</w:t>
            </w:r>
          </w:p>
        </w:tc>
        <w:tc>
          <w:tcPr>
            <w:tcW w:w="636" w:type="dxa"/>
            <w:hideMark/>
          </w:tcPr>
          <w:p w14:paraId="095CA78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429384B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18-25 (teacher trainees)</w:t>
            </w:r>
          </w:p>
        </w:tc>
        <w:tc>
          <w:tcPr>
            <w:tcW w:w="1011" w:type="dxa"/>
            <w:hideMark/>
          </w:tcPr>
          <w:p w14:paraId="76D349B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Future teachers, Austria</w:t>
            </w:r>
          </w:p>
        </w:tc>
        <w:tc>
          <w:tcPr>
            <w:tcW w:w="1147" w:type="dxa"/>
            <w:hideMark/>
          </w:tcPr>
          <w:p w14:paraId="22BF0AD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and COVID-19 misinformation</w:t>
            </w:r>
          </w:p>
        </w:tc>
        <w:tc>
          <w:tcPr>
            <w:tcW w:w="1163" w:type="dxa"/>
            <w:hideMark/>
          </w:tcPr>
          <w:p w14:paraId="160F46D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w:t>
            </w:r>
          </w:p>
        </w:tc>
        <w:tc>
          <w:tcPr>
            <w:tcW w:w="984" w:type="dxa"/>
            <w:hideMark/>
          </w:tcPr>
          <w:p w14:paraId="631DD8E2" w14:textId="77777777" w:rsidR="00A179C6" w:rsidRPr="0012240D" w:rsidRDefault="00A179C6" w:rsidP="00A179C6">
            <w:pPr>
              <w:spacing w:after="0" w:line="240" w:lineRule="auto"/>
              <w:rPr>
                <w:rFonts w:ascii="Arial Narrow" w:eastAsia="Times New Roman" w:hAnsi="Arial Narrow" w:cs="Arial"/>
                <w:kern w:val="0"/>
                <w:sz w:val="20"/>
                <w:szCs w:val="20"/>
                <w:lang w:eastAsia="es-CL"/>
                <w14:ligatures w14:val="none"/>
              </w:rPr>
            </w:pPr>
            <w:r w:rsidRPr="0012240D">
              <w:rPr>
                <w:rFonts w:ascii="Arial Narrow" w:eastAsia="Times New Roman" w:hAnsi="Arial Narrow" w:cs="Arial"/>
                <w:kern w:val="0"/>
                <w:sz w:val="20"/>
                <w:szCs w:val="20"/>
                <w:lang w:eastAsia="es-CL"/>
                <w14:ligatures w14:val="none"/>
              </w:rPr>
              <w:t xml:space="preserve">Social media (general), digital </w:t>
            </w:r>
            <w:proofErr w:type="spellStart"/>
            <w:r w:rsidRPr="0012240D">
              <w:rPr>
                <w:rFonts w:ascii="Arial Narrow" w:eastAsia="Times New Roman" w:hAnsi="Arial Narrow" w:cs="Arial"/>
                <w:kern w:val="0"/>
                <w:sz w:val="20"/>
                <w:szCs w:val="20"/>
                <w:lang w:eastAsia="es-CL"/>
                <w14:ligatures w14:val="none"/>
              </w:rPr>
              <w:t>news</w:t>
            </w:r>
            <w:proofErr w:type="spellEnd"/>
            <w:r w:rsidRPr="0012240D">
              <w:rPr>
                <w:rFonts w:ascii="Arial Narrow" w:eastAsia="Times New Roman" w:hAnsi="Arial Narrow" w:cs="Arial"/>
                <w:kern w:val="0"/>
                <w:sz w:val="20"/>
                <w:szCs w:val="20"/>
                <w:lang w:eastAsia="es-CL"/>
                <w14:ligatures w14:val="none"/>
              </w:rPr>
              <w:t xml:space="preserve"> </w:t>
            </w:r>
            <w:proofErr w:type="spellStart"/>
            <w:r w:rsidRPr="0012240D">
              <w:rPr>
                <w:rFonts w:ascii="Arial Narrow" w:eastAsia="Times New Roman" w:hAnsi="Arial Narrow" w:cs="Arial"/>
                <w:kern w:val="0"/>
                <w:sz w:val="20"/>
                <w:szCs w:val="20"/>
                <w:lang w:eastAsia="es-CL"/>
                <w14:ligatures w14:val="none"/>
              </w:rPr>
              <w:t>platforms</w:t>
            </w:r>
            <w:proofErr w:type="spellEnd"/>
          </w:p>
        </w:tc>
        <w:tc>
          <w:tcPr>
            <w:tcW w:w="1573" w:type="dxa"/>
            <w:hideMark/>
          </w:tcPr>
          <w:p w14:paraId="0B163F1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Critical attitude toward information, media literacy, misinformation awareness</w:t>
            </w:r>
          </w:p>
        </w:tc>
        <w:tc>
          <w:tcPr>
            <w:tcW w:w="1271" w:type="dxa"/>
            <w:hideMark/>
          </w:tcPr>
          <w:p w14:paraId="6F7EA81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Future teachers showed limited pre-intervention critical evaluation skills. Educational module significantly improved critical information evaluation. Teachers identified as key misinformation mediators for adolescents.</w:t>
            </w:r>
          </w:p>
        </w:tc>
      </w:tr>
      <w:tr w:rsidR="00A179C6" w:rsidRPr="0012240D" w14:paraId="172FE405" w14:textId="77777777" w:rsidTr="0012240D">
        <w:trPr>
          <w:trHeight w:val="960"/>
        </w:trPr>
        <w:tc>
          <w:tcPr>
            <w:tcW w:w="1333" w:type="dxa"/>
            <w:hideMark/>
          </w:tcPr>
          <w:p w14:paraId="4CEABC5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Bowler, 2022</w:t>
            </w:r>
          </w:p>
        </w:tc>
        <w:tc>
          <w:tcPr>
            <w:tcW w:w="652" w:type="dxa"/>
            <w:hideMark/>
          </w:tcPr>
          <w:p w14:paraId="644839D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2022</w:t>
            </w:r>
          </w:p>
        </w:tc>
        <w:tc>
          <w:tcPr>
            <w:tcW w:w="1542" w:type="dxa"/>
            <w:hideMark/>
          </w:tcPr>
          <w:p w14:paraId="6E0CC50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methods - online questionnaire</w:t>
            </w:r>
          </w:p>
        </w:tc>
        <w:tc>
          <w:tcPr>
            <w:tcW w:w="954" w:type="dxa"/>
            <w:hideMark/>
          </w:tcPr>
          <w:p w14:paraId="7AEED90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methods</w:t>
            </w:r>
          </w:p>
        </w:tc>
        <w:tc>
          <w:tcPr>
            <w:tcW w:w="636" w:type="dxa"/>
            <w:hideMark/>
          </w:tcPr>
          <w:p w14:paraId="3809EDB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26</w:t>
            </w:r>
          </w:p>
        </w:tc>
        <w:tc>
          <w:tcPr>
            <w:tcW w:w="1302" w:type="dxa"/>
            <w:hideMark/>
          </w:tcPr>
          <w:p w14:paraId="6FF05FA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15-19</w:t>
            </w:r>
          </w:p>
        </w:tc>
        <w:tc>
          <w:tcPr>
            <w:tcW w:w="1011" w:type="dxa"/>
            <w:hideMark/>
          </w:tcPr>
          <w:p w14:paraId="636A9B7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Teens in Brooklyn, New York (June 2020)</w:t>
            </w:r>
          </w:p>
        </w:tc>
        <w:tc>
          <w:tcPr>
            <w:tcW w:w="1147" w:type="dxa"/>
            <w:hideMark/>
          </w:tcPr>
          <w:p w14:paraId="0BDAF42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misinformation</w:t>
            </w:r>
          </w:p>
        </w:tc>
        <w:tc>
          <w:tcPr>
            <w:tcW w:w="1163" w:type="dxa"/>
            <w:hideMark/>
          </w:tcPr>
          <w:p w14:paraId="69D65B4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misinformation</w:t>
            </w:r>
          </w:p>
        </w:tc>
        <w:tc>
          <w:tcPr>
            <w:tcW w:w="984" w:type="dxa"/>
            <w:hideMark/>
          </w:tcPr>
          <w:p w14:paraId="5F78B97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YouTube, news websites</w:t>
            </w:r>
          </w:p>
        </w:tc>
        <w:tc>
          <w:tcPr>
            <w:tcW w:w="1573" w:type="dxa"/>
            <w:hideMark/>
          </w:tcPr>
          <w:p w14:paraId="356EE73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Information-seeking behaviors, credibility assessment, emotional responses</w:t>
            </w:r>
          </w:p>
        </w:tc>
        <w:tc>
          <w:tcPr>
            <w:tcW w:w="1271" w:type="dxa"/>
            <w:hideMark/>
          </w:tcPr>
          <w:p w14:paraId="7AA7ECA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Dominant emotions seeking COVID info: confused, scared, hopeless, unsure. Difficulty distinguishing credible from non-credible sources. Social media primary source despite credibility concerns.</w:t>
            </w:r>
          </w:p>
        </w:tc>
      </w:tr>
      <w:tr w:rsidR="00A179C6" w:rsidRPr="0012240D" w14:paraId="41DD22EA" w14:textId="77777777" w:rsidTr="0012240D">
        <w:trPr>
          <w:trHeight w:val="960"/>
        </w:trPr>
        <w:tc>
          <w:tcPr>
            <w:tcW w:w="1333" w:type="dxa"/>
            <w:hideMark/>
          </w:tcPr>
          <w:p w14:paraId="234B63C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Bui et al., 2025</w:t>
            </w:r>
          </w:p>
        </w:tc>
        <w:tc>
          <w:tcPr>
            <w:tcW w:w="652" w:type="dxa"/>
            <w:hideMark/>
          </w:tcPr>
          <w:p w14:paraId="1E3F28C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2818602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4A2D59E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48DE404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115452A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(adolescents and adults)</w:t>
            </w:r>
          </w:p>
        </w:tc>
        <w:tc>
          <w:tcPr>
            <w:tcW w:w="1011" w:type="dxa"/>
            <w:hideMark/>
          </w:tcPr>
          <w:p w14:paraId="06755F3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General population, Vietnam (Delta outbreak 2021)</w:t>
            </w:r>
          </w:p>
        </w:tc>
        <w:tc>
          <w:tcPr>
            <w:tcW w:w="1147" w:type="dxa"/>
            <w:hideMark/>
          </w:tcPr>
          <w:p w14:paraId="5FD21E4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vaccine misinformation</w:t>
            </w:r>
          </w:p>
        </w:tc>
        <w:tc>
          <w:tcPr>
            <w:tcW w:w="1163" w:type="dxa"/>
            <w:hideMark/>
          </w:tcPr>
          <w:p w14:paraId="1AE0D2E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Vaccine misinformation</w:t>
            </w:r>
          </w:p>
        </w:tc>
        <w:tc>
          <w:tcPr>
            <w:tcW w:w="984" w:type="dxa"/>
            <w:hideMark/>
          </w:tcPr>
          <w:p w14:paraId="3E07AF7A" w14:textId="77777777" w:rsidR="00A179C6" w:rsidRPr="0012240D" w:rsidRDefault="00A179C6" w:rsidP="00A179C6">
            <w:pPr>
              <w:spacing w:after="0" w:line="240" w:lineRule="auto"/>
              <w:rPr>
                <w:rFonts w:ascii="Arial Narrow" w:eastAsia="Times New Roman" w:hAnsi="Arial Narrow" w:cs="Arial"/>
                <w:kern w:val="0"/>
                <w:sz w:val="20"/>
                <w:szCs w:val="20"/>
                <w:lang w:eastAsia="es-CL"/>
                <w14:ligatures w14:val="none"/>
              </w:rPr>
            </w:pPr>
            <w:r w:rsidRPr="0012240D">
              <w:rPr>
                <w:rFonts w:ascii="Arial Narrow" w:eastAsia="Times New Roman" w:hAnsi="Arial Narrow" w:cs="Arial"/>
                <w:kern w:val="0"/>
                <w:sz w:val="20"/>
                <w:szCs w:val="20"/>
                <w:lang w:eastAsia="es-CL"/>
                <w14:ligatures w14:val="none"/>
              </w:rPr>
              <w:t xml:space="preserve">Social media (general), </w:t>
            </w:r>
            <w:proofErr w:type="spellStart"/>
            <w:r w:rsidRPr="0012240D">
              <w:rPr>
                <w:rFonts w:ascii="Arial Narrow" w:eastAsia="Times New Roman" w:hAnsi="Arial Narrow" w:cs="Arial"/>
                <w:kern w:val="0"/>
                <w:sz w:val="20"/>
                <w:szCs w:val="20"/>
                <w:lang w:eastAsia="es-CL"/>
                <w14:ligatures w14:val="none"/>
              </w:rPr>
              <w:t>news</w:t>
            </w:r>
            <w:proofErr w:type="spellEnd"/>
            <w:r w:rsidRPr="0012240D">
              <w:rPr>
                <w:rFonts w:ascii="Arial Narrow" w:eastAsia="Times New Roman" w:hAnsi="Arial Narrow" w:cs="Arial"/>
                <w:kern w:val="0"/>
                <w:sz w:val="20"/>
                <w:szCs w:val="20"/>
                <w:lang w:eastAsia="es-CL"/>
                <w14:ligatures w14:val="none"/>
              </w:rPr>
              <w:t xml:space="preserve"> media</w:t>
            </w:r>
          </w:p>
        </w:tc>
        <w:tc>
          <w:tcPr>
            <w:tcW w:w="1573" w:type="dxa"/>
            <w:hideMark/>
          </w:tcPr>
          <w:p w14:paraId="47E3A0B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Vaccine hesitancy, information sources, negative vaccine information exposure</w:t>
            </w:r>
          </w:p>
        </w:tc>
        <w:tc>
          <w:tcPr>
            <w:tcW w:w="1271" w:type="dxa"/>
            <w:hideMark/>
          </w:tcPr>
          <w:p w14:paraId="0298FAE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Significant vaccine hesitancy driven by social media misinformation during Delta outbreak. Social media served as anti-vaccine content vector. Adolescents and young adults particularly vulnerable. Key lessons for future pandemic misinformation management.</w:t>
            </w:r>
          </w:p>
        </w:tc>
      </w:tr>
      <w:tr w:rsidR="00A179C6" w:rsidRPr="0012240D" w14:paraId="1E448959" w14:textId="77777777" w:rsidTr="0012240D">
        <w:trPr>
          <w:trHeight w:val="960"/>
        </w:trPr>
        <w:tc>
          <w:tcPr>
            <w:tcW w:w="1333" w:type="dxa"/>
            <w:hideMark/>
          </w:tcPr>
          <w:p w14:paraId="5B91460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Buller et al., 2022</w:t>
            </w:r>
          </w:p>
        </w:tc>
        <w:tc>
          <w:tcPr>
            <w:tcW w:w="652" w:type="dxa"/>
            <w:hideMark/>
          </w:tcPr>
          <w:p w14:paraId="6F391F6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2022</w:t>
            </w:r>
          </w:p>
        </w:tc>
        <w:tc>
          <w:tcPr>
            <w:tcW w:w="1542" w:type="dxa"/>
            <w:hideMark/>
          </w:tcPr>
          <w:p w14:paraId="12D2771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Randomized controlled trial (RCT)</w:t>
            </w:r>
          </w:p>
        </w:tc>
        <w:tc>
          <w:tcPr>
            <w:tcW w:w="954" w:type="dxa"/>
            <w:hideMark/>
          </w:tcPr>
          <w:p w14:paraId="2F2F62A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Experimental</w:t>
            </w:r>
          </w:p>
        </w:tc>
        <w:tc>
          <w:tcPr>
            <w:tcW w:w="636" w:type="dxa"/>
            <w:hideMark/>
          </w:tcPr>
          <w:p w14:paraId="47E799F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1B09C27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Adults (mothers of adolescents)</w:t>
            </w:r>
          </w:p>
        </w:tc>
        <w:tc>
          <w:tcPr>
            <w:tcW w:w="1011" w:type="dxa"/>
            <w:hideMark/>
          </w:tcPr>
          <w:p w14:paraId="522C407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Mothers of adolescents, United States</w:t>
            </w:r>
          </w:p>
        </w:tc>
        <w:tc>
          <w:tcPr>
            <w:tcW w:w="1147" w:type="dxa"/>
            <w:hideMark/>
          </w:tcPr>
          <w:p w14:paraId="06B14BF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vaccine/NPI counter-messaging</w:t>
            </w:r>
          </w:p>
        </w:tc>
        <w:tc>
          <w:tcPr>
            <w:tcW w:w="1163" w:type="dxa"/>
            <w:hideMark/>
          </w:tcPr>
          <w:p w14:paraId="5ABB90C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Vaccine misinformation</w:t>
            </w:r>
          </w:p>
        </w:tc>
        <w:tc>
          <w:tcPr>
            <w:tcW w:w="984" w:type="dxa"/>
            <w:hideMark/>
          </w:tcPr>
          <w:p w14:paraId="68AD100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posts (experimental stimuli)</w:t>
            </w:r>
          </w:p>
        </w:tc>
        <w:tc>
          <w:tcPr>
            <w:tcW w:w="1573" w:type="dxa"/>
            <w:hideMark/>
          </w:tcPr>
          <w:p w14:paraId="524CED8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vaccine intentions, social distancing intentions, source credibility</w:t>
            </w:r>
          </w:p>
        </w:tc>
        <w:tc>
          <w:tcPr>
            <w:tcW w:w="1271" w:type="dxa"/>
            <w:hideMark/>
          </w:tcPr>
          <w:p w14:paraId="6C41401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Government agency posts most effective for vaccine intentions. Near-peer sources effective for social distancing. Source credibility varied by message type. Social media effective for health promotion when source appropriately matched.</w:t>
            </w:r>
          </w:p>
        </w:tc>
      </w:tr>
      <w:tr w:rsidR="00A179C6" w:rsidRPr="0012240D" w14:paraId="53C86F4D" w14:textId="77777777" w:rsidTr="0012240D">
        <w:trPr>
          <w:trHeight w:val="960"/>
        </w:trPr>
        <w:tc>
          <w:tcPr>
            <w:tcW w:w="1333" w:type="dxa"/>
            <w:hideMark/>
          </w:tcPr>
          <w:p w14:paraId="4655F0D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Dana et al., 2024</w:t>
            </w:r>
          </w:p>
        </w:tc>
        <w:tc>
          <w:tcPr>
            <w:tcW w:w="652" w:type="dxa"/>
            <w:hideMark/>
          </w:tcPr>
          <w:p w14:paraId="6A04B22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2024</w:t>
            </w:r>
          </w:p>
        </w:tc>
        <w:tc>
          <w:tcPr>
            <w:tcW w:w="1542" w:type="dxa"/>
            <w:hideMark/>
          </w:tcPr>
          <w:p w14:paraId="7D35603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03B9162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6E94309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4618B07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15-18</w:t>
            </w:r>
          </w:p>
        </w:tc>
        <w:tc>
          <w:tcPr>
            <w:tcW w:w="1011" w:type="dxa"/>
            <w:hideMark/>
          </w:tcPr>
          <w:p w14:paraId="25C6975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High school students, Indonesian tourism region</w:t>
            </w:r>
          </w:p>
        </w:tc>
        <w:tc>
          <w:tcPr>
            <w:tcW w:w="1147" w:type="dxa"/>
            <w:hideMark/>
          </w:tcPr>
          <w:p w14:paraId="4EA8474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HIV/AIDS misinformation</w:t>
            </w:r>
          </w:p>
        </w:tc>
        <w:tc>
          <w:tcPr>
            <w:tcW w:w="1163" w:type="dxa"/>
            <w:hideMark/>
          </w:tcPr>
          <w:p w14:paraId="28C47AB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misinformation</w:t>
            </w:r>
          </w:p>
        </w:tc>
        <w:tc>
          <w:tcPr>
            <w:tcW w:w="984" w:type="dxa"/>
            <w:hideMark/>
          </w:tcPr>
          <w:p w14:paraId="14A4903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unspecified)</w:t>
            </w:r>
          </w:p>
        </w:tc>
        <w:tc>
          <w:tcPr>
            <w:tcW w:w="1573" w:type="dxa"/>
            <w:hideMark/>
          </w:tcPr>
          <w:p w14:paraId="083DE16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HIV/AIDS knowledge, attitudes toward PLWHA, stigma, social media use patterns</w:t>
            </w:r>
          </w:p>
        </w:tc>
        <w:tc>
          <w:tcPr>
            <w:tcW w:w="1271" w:type="dxa"/>
            <w:hideMark/>
          </w:tcPr>
          <w:p w14:paraId="48FE031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associated with both HIV/AIDS knowledge and stigmatizing attitudes. HIV/AIDS misinformation contributed to discriminatory behaviors. Social media served as both educational resource and vector for misinformation.</w:t>
            </w:r>
          </w:p>
        </w:tc>
      </w:tr>
      <w:tr w:rsidR="00A179C6" w:rsidRPr="0012240D" w14:paraId="356A5552" w14:textId="77777777" w:rsidTr="0012240D">
        <w:trPr>
          <w:trHeight w:val="960"/>
        </w:trPr>
        <w:tc>
          <w:tcPr>
            <w:tcW w:w="1333" w:type="dxa"/>
            <w:hideMark/>
          </w:tcPr>
          <w:p w14:paraId="4B62CBC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proofErr w:type="spellStart"/>
            <w:r w:rsidRPr="0012240D">
              <w:rPr>
                <w:rFonts w:ascii="Arial Narrow" w:eastAsia="Times New Roman" w:hAnsi="Arial Narrow" w:cs="Arial"/>
                <w:kern w:val="0"/>
                <w:sz w:val="20"/>
                <w:szCs w:val="20"/>
                <w:lang w:val="en-US" w:eastAsia="es-CL"/>
                <w14:ligatures w14:val="none"/>
              </w:rPr>
              <w:lastRenderedPageBreak/>
              <w:t>Hasanatuludhhiyah</w:t>
            </w:r>
            <w:proofErr w:type="spellEnd"/>
            <w:r w:rsidRPr="0012240D">
              <w:rPr>
                <w:rFonts w:ascii="Arial Narrow" w:eastAsia="Times New Roman" w:hAnsi="Arial Narrow" w:cs="Arial"/>
                <w:kern w:val="0"/>
                <w:sz w:val="20"/>
                <w:szCs w:val="20"/>
                <w:lang w:val="en-US" w:eastAsia="es-CL"/>
                <w14:ligatures w14:val="none"/>
              </w:rPr>
              <w:t xml:space="preserve"> et al., 2024</w:t>
            </w:r>
          </w:p>
        </w:tc>
        <w:tc>
          <w:tcPr>
            <w:tcW w:w="652" w:type="dxa"/>
            <w:hideMark/>
          </w:tcPr>
          <w:p w14:paraId="2830F70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2024</w:t>
            </w:r>
          </w:p>
        </w:tc>
        <w:tc>
          <w:tcPr>
            <w:tcW w:w="1542" w:type="dxa"/>
            <w:hideMark/>
          </w:tcPr>
          <w:p w14:paraId="6564CDD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6739217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15C4EDA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3EDEE8D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15-18</w:t>
            </w:r>
          </w:p>
        </w:tc>
        <w:tc>
          <w:tcPr>
            <w:tcW w:w="1011" w:type="dxa"/>
            <w:hideMark/>
          </w:tcPr>
          <w:p w14:paraId="1FD594B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High school students, East Java, Indonesia</w:t>
            </w:r>
          </w:p>
        </w:tc>
        <w:tc>
          <w:tcPr>
            <w:tcW w:w="1147" w:type="dxa"/>
            <w:hideMark/>
          </w:tcPr>
          <w:p w14:paraId="5FB752C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health misinformation</w:t>
            </w:r>
          </w:p>
        </w:tc>
        <w:tc>
          <w:tcPr>
            <w:tcW w:w="1163" w:type="dxa"/>
            <w:hideMark/>
          </w:tcPr>
          <w:p w14:paraId="16EF606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misinformation</w:t>
            </w:r>
          </w:p>
        </w:tc>
        <w:tc>
          <w:tcPr>
            <w:tcW w:w="984" w:type="dxa"/>
            <w:hideMark/>
          </w:tcPr>
          <w:p w14:paraId="78522D8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(analyzed by platform preference)</w:t>
            </w:r>
          </w:p>
        </w:tc>
        <w:tc>
          <w:tcPr>
            <w:tcW w:w="1573" w:type="dxa"/>
            <w:hideMark/>
          </w:tcPr>
          <w:p w14:paraId="03A9734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Digital health literacy (DHL) levels, social media use patterns, sociodemographic determinants of DHL</w:t>
            </w:r>
          </w:p>
        </w:tc>
        <w:tc>
          <w:tcPr>
            <w:tcW w:w="1271" w:type="dxa"/>
            <w:hideMark/>
          </w:tcPr>
          <w:p w14:paraId="16B83F8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Significant sociodemographic differences in DHL levels. Adequate DHL is a protective factor against COVID-19 misinformation. Social media platform preference influenced DHL levels.</w:t>
            </w:r>
          </w:p>
        </w:tc>
      </w:tr>
      <w:tr w:rsidR="00A179C6" w:rsidRPr="0012240D" w14:paraId="2ED959D3" w14:textId="77777777" w:rsidTr="0012240D">
        <w:trPr>
          <w:trHeight w:val="1200"/>
        </w:trPr>
        <w:tc>
          <w:tcPr>
            <w:tcW w:w="1333" w:type="dxa"/>
            <w:hideMark/>
          </w:tcPr>
          <w:p w14:paraId="4B57E98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Mou et al., 2026</w:t>
            </w:r>
          </w:p>
        </w:tc>
        <w:tc>
          <w:tcPr>
            <w:tcW w:w="652" w:type="dxa"/>
            <w:hideMark/>
          </w:tcPr>
          <w:p w14:paraId="06A5D4F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2026</w:t>
            </w:r>
          </w:p>
        </w:tc>
        <w:tc>
          <w:tcPr>
            <w:tcW w:w="1542" w:type="dxa"/>
            <w:hideMark/>
          </w:tcPr>
          <w:p w14:paraId="2A3C519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6711DDE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337B940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2002</w:t>
            </w:r>
          </w:p>
        </w:tc>
        <w:tc>
          <w:tcPr>
            <w:tcW w:w="1302" w:type="dxa"/>
            <w:hideMark/>
          </w:tcPr>
          <w:p w14:paraId="26EBB77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15-18</w:t>
            </w:r>
          </w:p>
        </w:tc>
        <w:tc>
          <w:tcPr>
            <w:tcW w:w="1011" w:type="dxa"/>
            <w:hideMark/>
          </w:tcPr>
          <w:p w14:paraId="0AB40B3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High school students in China (Dec 2022-Jan 2023)</w:t>
            </w:r>
          </w:p>
        </w:tc>
        <w:tc>
          <w:tcPr>
            <w:tcW w:w="1147" w:type="dxa"/>
            <w:hideMark/>
          </w:tcPr>
          <w:p w14:paraId="381E27A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Medical misinformation (general)</w:t>
            </w:r>
          </w:p>
        </w:tc>
        <w:tc>
          <w:tcPr>
            <w:tcW w:w="1163" w:type="dxa"/>
            <w:hideMark/>
          </w:tcPr>
          <w:p w14:paraId="77E3E4C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w:t>
            </w:r>
          </w:p>
        </w:tc>
        <w:tc>
          <w:tcPr>
            <w:tcW w:w="984" w:type="dxa"/>
            <w:hideMark/>
          </w:tcPr>
          <w:p w14:paraId="7CCC2EC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Internet and social media (general)</w:t>
            </w:r>
          </w:p>
        </w:tc>
        <w:tc>
          <w:tcPr>
            <w:tcW w:w="1573" w:type="dxa"/>
            <w:hideMark/>
          </w:tcPr>
          <w:p w14:paraId="402AB68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Medical misinformation knowledge, attitudes, willingness to pursue medical careers</w:t>
            </w:r>
          </w:p>
        </w:tc>
        <w:tc>
          <w:tcPr>
            <w:tcW w:w="1271" w:type="dxa"/>
            <w:hideMark/>
          </w:tcPr>
          <w:p w14:paraId="41A9EC4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Mean knowledge score 7.81/10 indicating moderate-to-good awareness. Positive attitudes associated with medical career interest. Internet/social media primary but unreliable health sources. Awareness inversely associated with misinformation susceptibility.</w:t>
            </w:r>
          </w:p>
        </w:tc>
      </w:tr>
      <w:tr w:rsidR="00A179C6" w:rsidRPr="0012240D" w14:paraId="2844B095" w14:textId="77777777" w:rsidTr="0012240D">
        <w:trPr>
          <w:trHeight w:val="1200"/>
        </w:trPr>
        <w:tc>
          <w:tcPr>
            <w:tcW w:w="1333" w:type="dxa"/>
            <w:hideMark/>
          </w:tcPr>
          <w:p w14:paraId="6357AFD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Oliveira &amp; Birdsall, 2025</w:t>
            </w:r>
          </w:p>
        </w:tc>
        <w:tc>
          <w:tcPr>
            <w:tcW w:w="652" w:type="dxa"/>
            <w:hideMark/>
          </w:tcPr>
          <w:p w14:paraId="3600DFA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0CA39E7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Longitudinal educational intervention</w:t>
            </w:r>
          </w:p>
        </w:tc>
        <w:tc>
          <w:tcPr>
            <w:tcW w:w="954" w:type="dxa"/>
            <w:hideMark/>
          </w:tcPr>
          <w:p w14:paraId="7C023BB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Experimental</w:t>
            </w:r>
          </w:p>
        </w:tc>
        <w:tc>
          <w:tcPr>
            <w:tcW w:w="636" w:type="dxa"/>
            <w:hideMark/>
          </w:tcPr>
          <w:p w14:paraId="7CB93C6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694E6D4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13-18</w:t>
            </w:r>
          </w:p>
        </w:tc>
        <w:tc>
          <w:tcPr>
            <w:tcW w:w="1011" w:type="dxa"/>
            <w:hideMark/>
          </w:tcPr>
          <w:p w14:paraId="493378B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Teenagers in New Zealand secondary schools</w:t>
            </w:r>
          </w:p>
        </w:tc>
        <w:tc>
          <w:tcPr>
            <w:tcW w:w="1147" w:type="dxa"/>
            <w:hideMark/>
          </w:tcPr>
          <w:p w14:paraId="56AA392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Vaccine misinformation / anti-vaccination narratives</w:t>
            </w:r>
          </w:p>
        </w:tc>
        <w:tc>
          <w:tcPr>
            <w:tcW w:w="1163" w:type="dxa"/>
            <w:hideMark/>
          </w:tcPr>
          <w:p w14:paraId="5B6069F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Vaccine misinformation</w:t>
            </w:r>
          </w:p>
        </w:tc>
        <w:tc>
          <w:tcPr>
            <w:tcW w:w="984" w:type="dxa"/>
            <w:hideMark/>
          </w:tcPr>
          <w:p w14:paraId="1CCDCA7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w:t>
            </w:r>
          </w:p>
        </w:tc>
        <w:tc>
          <w:tcPr>
            <w:tcW w:w="1573" w:type="dxa"/>
            <w:hideMark/>
          </w:tcPr>
          <w:p w14:paraId="1DDC6D9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Immunology knowledge, vaccine hesitancy, misinformation resilience</w:t>
            </w:r>
          </w:p>
        </w:tc>
        <w:tc>
          <w:tcPr>
            <w:tcW w:w="1271" w:type="dxa"/>
            <w:hideMark/>
          </w:tcPr>
          <w:p w14:paraId="2C648B6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Educational intervention improved immunology knowledge and reduced vaccine hesitancy among NZ teenagers (highest national hesitancy). Social media is primary source of anti-vaccine misinformation. Post-COVID pandemic interest in immunology leveraged for science education.</w:t>
            </w:r>
          </w:p>
        </w:tc>
      </w:tr>
      <w:tr w:rsidR="00A179C6" w:rsidRPr="0012240D" w14:paraId="7F604516" w14:textId="77777777" w:rsidTr="0012240D">
        <w:trPr>
          <w:trHeight w:val="1200"/>
        </w:trPr>
        <w:tc>
          <w:tcPr>
            <w:tcW w:w="1333" w:type="dxa"/>
            <w:hideMark/>
          </w:tcPr>
          <w:p w14:paraId="6E37068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proofErr w:type="spellStart"/>
            <w:r w:rsidRPr="0012240D">
              <w:rPr>
                <w:rFonts w:ascii="Arial Narrow" w:eastAsia="Times New Roman" w:hAnsi="Arial Narrow" w:cs="Arial"/>
                <w:kern w:val="0"/>
                <w:sz w:val="20"/>
                <w:szCs w:val="20"/>
                <w:lang w:val="en-US" w:eastAsia="es-CL"/>
                <w14:ligatures w14:val="none"/>
              </w:rPr>
              <w:t>Paludneviciene</w:t>
            </w:r>
            <w:proofErr w:type="spellEnd"/>
            <w:r w:rsidRPr="0012240D">
              <w:rPr>
                <w:rFonts w:ascii="Arial Narrow" w:eastAsia="Times New Roman" w:hAnsi="Arial Narrow" w:cs="Arial"/>
                <w:kern w:val="0"/>
                <w:sz w:val="20"/>
                <w:szCs w:val="20"/>
                <w:lang w:val="en-US" w:eastAsia="es-CL"/>
                <w14:ligatures w14:val="none"/>
              </w:rPr>
              <w:t xml:space="preserve"> et al., 2021</w:t>
            </w:r>
          </w:p>
        </w:tc>
        <w:tc>
          <w:tcPr>
            <w:tcW w:w="652" w:type="dxa"/>
            <w:hideMark/>
          </w:tcPr>
          <w:p w14:paraId="5001CD3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2021</w:t>
            </w:r>
          </w:p>
        </w:tc>
        <w:tc>
          <w:tcPr>
            <w:tcW w:w="1542" w:type="dxa"/>
            <w:hideMark/>
          </w:tcPr>
          <w:p w14:paraId="1701A59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3539561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73A85C7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377</w:t>
            </w:r>
          </w:p>
        </w:tc>
        <w:tc>
          <w:tcPr>
            <w:tcW w:w="1302" w:type="dxa"/>
            <w:hideMark/>
          </w:tcPr>
          <w:p w14:paraId="1CF100B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&gt;=18 (HS education or less)</w:t>
            </w:r>
          </w:p>
        </w:tc>
        <w:tc>
          <w:tcPr>
            <w:tcW w:w="1011" w:type="dxa"/>
            <w:hideMark/>
          </w:tcPr>
          <w:p w14:paraId="27CDE2E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Deaf and hard of hearing (DHH) adults, United States</w:t>
            </w:r>
          </w:p>
        </w:tc>
        <w:tc>
          <w:tcPr>
            <w:tcW w:w="1147" w:type="dxa"/>
            <w:hideMark/>
          </w:tcPr>
          <w:p w14:paraId="2086106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misinformation (physical distancing, asymptomatic transmission)</w:t>
            </w:r>
          </w:p>
        </w:tc>
        <w:tc>
          <w:tcPr>
            <w:tcW w:w="1163" w:type="dxa"/>
            <w:hideMark/>
          </w:tcPr>
          <w:p w14:paraId="5231305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misinformation</w:t>
            </w:r>
          </w:p>
        </w:tc>
        <w:tc>
          <w:tcPr>
            <w:tcW w:w="984" w:type="dxa"/>
            <w:hideMark/>
          </w:tcPr>
          <w:p w14:paraId="441948E9" w14:textId="77777777" w:rsidR="00A179C6" w:rsidRPr="0012240D" w:rsidRDefault="00A179C6" w:rsidP="00A179C6">
            <w:pPr>
              <w:spacing w:after="0" w:line="240" w:lineRule="auto"/>
              <w:rPr>
                <w:rFonts w:ascii="Arial Narrow" w:eastAsia="Times New Roman" w:hAnsi="Arial Narrow" w:cs="Arial"/>
                <w:kern w:val="0"/>
                <w:sz w:val="20"/>
                <w:szCs w:val="20"/>
                <w:lang w:eastAsia="es-CL"/>
                <w14:ligatures w14:val="none"/>
              </w:rPr>
            </w:pPr>
            <w:r w:rsidRPr="0012240D">
              <w:rPr>
                <w:rFonts w:ascii="Arial Narrow" w:eastAsia="Times New Roman" w:hAnsi="Arial Narrow" w:cs="Arial"/>
                <w:kern w:val="0"/>
                <w:sz w:val="20"/>
                <w:szCs w:val="20"/>
                <w:lang w:eastAsia="es-CL"/>
                <w14:ligatures w14:val="none"/>
              </w:rPr>
              <w:t xml:space="preserve">Digital video </w:t>
            </w:r>
            <w:proofErr w:type="spellStart"/>
            <w:r w:rsidRPr="0012240D">
              <w:rPr>
                <w:rFonts w:ascii="Arial Narrow" w:eastAsia="Times New Roman" w:hAnsi="Arial Narrow" w:cs="Arial"/>
                <w:kern w:val="0"/>
                <w:sz w:val="20"/>
                <w:szCs w:val="20"/>
                <w:lang w:eastAsia="es-CL"/>
                <w14:ligatures w14:val="none"/>
              </w:rPr>
              <w:t>platforms</w:t>
            </w:r>
            <w:proofErr w:type="spellEnd"/>
            <w:r w:rsidRPr="0012240D">
              <w:rPr>
                <w:rFonts w:ascii="Arial Narrow" w:eastAsia="Times New Roman" w:hAnsi="Arial Narrow" w:cs="Arial"/>
                <w:kern w:val="0"/>
                <w:sz w:val="20"/>
                <w:szCs w:val="20"/>
                <w:lang w:eastAsia="es-CL"/>
                <w14:ligatures w14:val="none"/>
              </w:rPr>
              <w:t>, social media (general)</w:t>
            </w:r>
          </w:p>
        </w:tc>
        <w:tc>
          <w:tcPr>
            <w:tcW w:w="1573" w:type="dxa"/>
            <w:hideMark/>
          </w:tcPr>
          <w:p w14:paraId="190EE66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Risk perception of physical distancing, perceived contagiousness, information comprehension</w:t>
            </w:r>
          </w:p>
        </w:tc>
        <w:tc>
          <w:tcPr>
            <w:tcW w:w="1271" w:type="dxa"/>
            <w:hideMark/>
          </w:tcPr>
          <w:p w14:paraId="6BAA4D3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Information accessibility barriers in online content created significant COVID-19 knowledge gaps among 377 DHH individuals. Significant misperceptions about physical </w:t>
            </w:r>
            <w:r w:rsidRPr="0012240D">
              <w:rPr>
                <w:rFonts w:ascii="Arial Narrow" w:eastAsia="Times New Roman" w:hAnsi="Arial Narrow" w:cs="Arial"/>
                <w:kern w:val="0"/>
                <w:sz w:val="20"/>
                <w:szCs w:val="20"/>
                <w:lang w:val="en-US" w:eastAsia="es-CL"/>
                <w14:ligatures w14:val="none"/>
              </w:rPr>
              <w:lastRenderedPageBreak/>
              <w:t>distancing and asymptomatic transmission. Language accessibility in digital health information critical.</w:t>
            </w:r>
          </w:p>
        </w:tc>
      </w:tr>
      <w:tr w:rsidR="00A179C6" w:rsidRPr="0012240D" w14:paraId="60BF8F4E" w14:textId="77777777" w:rsidTr="0012240D">
        <w:trPr>
          <w:trHeight w:val="1200"/>
        </w:trPr>
        <w:tc>
          <w:tcPr>
            <w:tcW w:w="1333" w:type="dxa"/>
            <w:hideMark/>
          </w:tcPr>
          <w:p w14:paraId="2B47599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proofErr w:type="spellStart"/>
            <w:r w:rsidRPr="0012240D">
              <w:rPr>
                <w:rFonts w:ascii="Arial Narrow" w:eastAsia="Times New Roman" w:hAnsi="Arial Narrow" w:cs="Arial"/>
                <w:kern w:val="0"/>
                <w:sz w:val="20"/>
                <w:szCs w:val="20"/>
                <w:lang w:val="en-US" w:eastAsia="es-CL"/>
                <w14:ligatures w14:val="none"/>
              </w:rPr>
              <w:lastRenderedPageBreak/>
              <w:t>Pletta</w:t>
            </w:r>
            <w:proofErr w:type="spellEnd"/>
            <w:r w:rsidRPr="0012240D">
              <w:rPr>
                <w:rFonts w:ascii="Arial Narrow" w:eastAsia="Times New Roman" w:hAnsi="Arial Narrow" w:cs="Arial"/>
                <w:kern w:val="0"/>
                <w:sz w:val="20"/>
                <w:szCs w:val="20"/>
                <w:lang w:val="en-US" w:eastAsia="es-CL"/>
                <w14:ligatures w14:val="none"/>
              </w:rPr>
              <w:t xml:space="preserve"> et al., 2022</w:t>
            </w:r>
          </w:p>
        </w:tc>
        <w:tc>
          <w:tcPr>
            <w:tcW w:w="652" w:type="dxa"/>
            <w:hideMark/>
          </w:tcPr>
          <w:p w14:paraId="6B451F1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2022</w:t>
            </w:r>
          </w:p>
        </w:tc>
        <w:tc>
          <w:tcPr>
            <w:tcW w:w="1542" w:type="dxa"/>
            <w:hideMark/>
          </w:tcPr>
          <w:p w14:paraId="608030C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Qualitative - secondary analysis</w:t>
            </w:r>
          </w:p>
        </w:tc>
        <w:tc>
          <w:tcPr>
            <w:tcW w:w="954" w:type="dxa"/>
            <w:hideMark/>
          </w:tcPr>
          <w:p w14:paraId="30DB13F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Qualitative</w:t>
            </w:r>
          </w:p>
        </w:tc>
        <w:tc>
          <w:tcPr>
            <w:tcW w:w="636" w:type="dxa"/>
            <w:hideMark/>
          </w:tcPr>
          <w:p w14:paraId="5F989E0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7CF3431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12-18</w:t>
            </w:r>
          </w:p>
        </w:tc>
        <w:tc>
          <w:tcPr>
            <w:tcW w:w="1011" w:type="dxa"/>
            <w:hideMark/>
          </w:tcPr>
          <w:p w14:paraId="0D42958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TNB adolescents and families, New England, USA</w:t>
            </w:r>
          </w:p>
        </w:tc>
        <w:tc>
          <w:tcPr>
            <w:tcW w:w="1147" w:type="dxa"/>
            <w:hideMark/>
          </w:tcPr>
          <w:p w14:paraId="4E6F301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Stigmatizing rhetoric and misinformation about LGBTQ+ identities</w:t>
            </w:r>
          </w:p>
        </w:tc>
        <w:tc>
          <w:tcPr>
            <w:tcW w:w="1163" w:type="dxa"/>
            <w:hideMark/>
          </w:tcPr>
          <w:p w14:paraId="1A959AB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Social/political misinformation</w:t>
            </w:r>
          </w:p>
        </w:tc>
        <w:tc>
          <w:tcPr>
            <w:tcW w:w="984" w:type="dxa"/>
            <w:hideMark/>
          </w:tcPr>
          <w:p w14:paraId="785DDBB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political media</w:t>
            </w:r>
          </w:p>
        </w:tc>
        <w:tc>
          <w:tcPr>
            <w:tcW w:w="1573" w:type="dxa"/>
            <w:hideMark/>
          </w:tcPr>
          <w:p w14:paraId="43C3B96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Psychosocial wellbeing, mental health, family functioning, identity-related distress</w:t>
            </w:r>
          </w:p>
        </w:tc>
        <w:tc>
          <w:tcPr>
            <w:tcW w:w="1271" w:type="dxa"/>
            <w:hideMark/>
          </w:tcPr>
          <w:p w14:paraId="46AC72D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Stigmatizing political rhetoric and discriminatory social media content significantly impaired TNB adolescent mental health and psychosocial functioning. Anxiety, depression, and family stress elevated. Social media served as both community support and vector for harmful stigmatizing content.</w:t>
            </w:r>
          </w:p>
        </w:tc>
      </w:tr>
      <w:tr w:rsidR="00A179C6" w:rsidRPr="0012240D" w14:paraId="0361B919" w14:textId="77777777" w:rsidTr="0012240D">
        <w:trPr>
          <w:trHeight w:val="1200"/>
        </w:trPr>
        <w:tc>
          <w:tcPr>
            <w:tcW w:w="1333" w:type="dxa"/>
            <w:hideMark/>
          </w:tcPr>
          <w:p w14:paraId="2FE9895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Perez-Escoda et al., 2025</w:t>
            </w:r>
          </w:p>
        </w:tc>
        <w:tc>
          <w:tcPr>
            <w:tcW w:w="652" w:type="dxa"/>
            <w:hideMark/>
          </w:tcPr>
          <w:p w14:paraId="2D45A41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5538E53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 (European project)</w:t>
            </w:r>
          </w:p>
        </w:tc>
        <w:tc>
          <w:tcPr>
            <w:tcW w:w="954" w:type="dxa"/>
            <w:hideMark/>
          </w:tcPr>
          <w:p w14:paraId="02BE3A8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56D76AA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2123C2A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12-18</w:t>
            </w:r>
          </w:p>
        </w:tc>
        <w:tc>
          <w:tcPr>
            <w:tcW w:w="1011" w:type="dxa"/>
            <w:hideMark/>
          </w:tcPr>
          <w:p w14:paraId="31AC08F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Secondary education students across multiple European countries</w:t>
            </w:r>
          </w:p>
        </w:tc>
        <w:tc>
          <w:tcPr>
            <w:tcW w:w="1147" w:type="dxa"/>
            <w:hideMark/>
          </w:tcPr>
          <w:p w14:paraId="2FE0A8C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Disinformation (general/digital)</w:t>
            </w:r>
          </w:p>
        </w:tc>
        <w:tc>
          <w:tcPr>
            <w:tcW w:w="1163" w:type="dxa"/>
            <w:hideMark/>
          </w:tcPr>
          <w:p w14:paraId="58B8755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General misinformation</w:t>
            </w:r>
          </w:p>
        </w:tc>
        <w:tc>
          <w:tcPr>
            <w:tcW w:w="984" w:type="dxa"/>
            <w:hideMark/>
          </w:tcPr>
          <w:p w14:paraId="377BA07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digital news media</w:t>
            </w:r>
          </w:p>
        </w:tc>
        <w:tc>
          <w:tcPr>
            <w:tcW w:w="1573" w:type="dxa"/>
            <w:hideMark/>
          </w:tcPr>
          <w:p w14:paraId="1CC8D99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Disinformation awareness, critical thinking skills, responsible digital practices</w:t>
            </w:r>
          </w:p>
        </w:tc>
        <w:tc>
          <w:tcPr>
            <w:tcW w:w="1271" w:type="dxa"/>
            <w:hideMark/>
          </w:tcPr>
          <w:p w14:paraId="60504B3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Growing awareness of disinformation risks across European adolescent populations with significant cross-country variability. Sustainable education framework effective for promoting disinformation resilience. Tension between passive consumption and active critical engagement.</w:t>
            </w:r>
          </w:p>
        </w:tc>
      </w:tr>
      <w:tr w:rsidR="00A179C6" w:rsidRPr="0012240D" w14:paraId="427BDAF2" w14:textId="77777777" w:rsidTr="0012240D">
        <w:trPr>
          <w:trHeight w:val="1200"/>
        </w:trPr>
        <w:tc>
          <w:tcPr>
            <w:tcW w:w="1333" w:type="dxa"/>
            <w:hideMark/>
          </w:tcPr>
          <w:p w14:paraId="5706B83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Radwan et al., 2020</w:t>
            </w:r>
          </w:p>
        </w:tc>
        <w:tc>
          <w:tcPr>
            <w:tcW w:w="652" w:type="dxa"/>
            <w:hideMark/>
          </w:tcPr>
          <w:p w14:paraId="37D50DE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2020</w:t>
            </w:r>
          </w:p>
        </w:tc>
        <w:tc>
          <w:tcPr>
            <w:tcW w:w="1542" w:type="dxa"/>
            <w:hideMark/>
          </w:tcPr>
          <w:p w14:paraId="3B08675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 (online questionnaire)</w:t>
            </w:r>
          </w:p>
        </w:tc>
        <w:tc>
          <w:tcPr>
            <w:tcW w:w="954" w:type="dxa"/>
            <w:hideMark/>
          </w:tcPr>
          <w:p w14:paraId="4C721D9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50E7378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5149021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10-18</w:t>
            </w:r>
          </w:p>
        </w:tc>
        <w:tc>
          <w:tcPr>
            <w:tcW w:w="1011" w:type="dxa"/>
            <w:hideMark/>
          </w:tcPr>
          <w:p w14:paraId="6DDB5F0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Primary and secondary school students, Gaza Strip, Palestine</w:t>
            </w:r>
          </w:p>
        </w:tc>
        <w:tc>
          <w:tcPr>
            <w:tcW w:w="1147" w:type="dxa"/>
            <w:hideMark/>
          </w:tcPr>
          <w:p w14:paraId="13D9F0D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misinformation and panic-inducing content</w:t>
            </w:r>
          </w:p>
        </w:tc>
        <w:tc>
          <w:tcPr>
            <w:tcW w:w="1163" w:type="dxa"/>
            <w:hideMark/>
          </w:tcPr>
          <w:p w14:paraId="2AF9BC8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misinformation</w:t>
            </w:r>
          </w:p>
        </w:tc>
        <w:tc>
          <w:tcPr>
            <w:tcW w:w="984" w:type="dxa"/>
            <w:hideMark/>
          </w:tcPr>
          <w:p w14:paraId="49C25F0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Facebook, WhatsApp, YouTube, social media (general)</w:t>
            </w:r>
          </w:p>
        </w:tc>
        <w:tc>
          <w:tcPr>
            <w:tcW w:w="1573" w:type="dxa"/>
            <w:hideMark/>
          </w:tcPr>
          <w:p w14:paraId="40C3B30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Panic levels, anxiety, psychological distress, COVID-19 misinformation exposure</w:t>
            </w:r>
          </w:p>
        </w:tc>
        <w:tc>
          <w:tcPr>
            <w:tcW w:w="1271" w:type="dxa"/>
            <w:hideMark/>
          </w:tcPr>
          <w:p w14:paraId="2EB7210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Significant association between COVID-19 social media misinformation and increased panic and anxiety. Misinformation spread faster than accurate information. Heightened </w:t>
            </w:r>
            <w:r w:rsidRPr="0012240D">
              <w:rPr>
                <w:rFonts w:ascii="Arial Narrow" w:eastAsia="Times New Roman" w:hAnsi="Arial Narrow" w:cs="Arial"/>
                <w:kern w:val="0"/>
                <w:sz w:val="20"/>
                <w:szCs w:val="20"/>
                <w:lang w:val="en-US" w:eastAsia="es-CL"/>
                <w14:ligatures w14:val="none"/>
              </w:rPr>
              <w:lastRenderedPageBreak/>
              <w:t>psychological distress from fear-inducing online content. Direct psychosocial impact in a conflict-affected context documented.</w:t>
            </w:r>
          </w:p>
        </w:tc>
      </w:tr>
      <w:tr w:rsidR="00A179C6" w:rsidRPr="0012240D" w14:paraId="0B7FE278" w14:textId="77777777" w:rsidTr="0012240D">
        <w:trPr>
          <w:trHeight w:val="960"/>
        </w:trPr>
        <w:tc>
          <w:tcPr>
            <w:tcW w:w="1333" w:type="dxa"/>
            <w:hideMark/>
          </w:tcPr>
          <w:p w14:paraId="248B4CF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Rojas-Bahamon et al., 2024</w:t>
            </w:r>
          </w:p>
        </w:tc>
        <w:tc>
          <w:tcPr>
            <w:tcW w:w="652" w:type="dxa"/>
            <w:hideMark/>
          </w:tcPr>
          <w:p w14:paraId="0F15159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2024</w:t>
            </w:r>
          </w:p>
        </w:tc>
        <w:tc>
          <w:tcPr>
            <w:tcW w:w="1542" w:type="dxa"/>
            <w:hideMark/>
          </w:tcPr>
          <w:p w14:paraId="7E87F19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 mixed narrative</w:t>
            </w:r>
          </w:p>
        </w:tc>
        <w:tc>
          <w:tcPr>
            <w:tcW w:w="954" w:type="dxa"/>
            <w:hideMark/>
          </w:tcPr>
          <w:p w14:paraId="404CDB2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methods</w:t>
            </w:r>
          </w:p>
        </w:tc>
        <w:tc>
          <w:tcPr>
            <w:tcW w:w="636" w:type="dxa"/>
            <w:hideMark/>
          </w:tcPr>
          <w:p w14:paraId="5F7FDC7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473928F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10-14</w:t>
            </w:r>
          </w:p>
        </w:tc>
        <w:tc>
          <w:tcPr>
            <w:tcW w:w="1011" w:type="dxa"/>
            <w:hideMark/>
          </w:tcPr>
          <w:p w14:paraId="4911A08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Middle school students in Colombia</w:t>
            </w:r>
          </w:p>
        </w:tc>
        <w:tc>
          <w:tcPr>
            <w:tcW w:w="1147" w:type="dxa"/>
            <w:hideMark/>
          </w:tcPr>
          <w:p w14:paraId="44482E4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Fake news and digital media misinformation</w:t>
            </w:r>
          </w:p>
        </w:tc>
        <w:tc>
          <w:tcPr>
            <w:tcW w:w="1163" w:type="dxa"/>
            <w:hideMark/>
          </w:tcPr>
          <w:p w14:paraId="20249F2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General misinformation</w:t>
            </w:r>
          </w:p>
        </w:tc>
        <w:tc>
          <w:tcPr>
            <w:tcW w:w="984" w:type="dxa"/>
            <w:hideMark/>
          </w:tcPr>
          <w:p w14:paraId="37FA85F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Digital media (general, unspecified)</w:t>
            </w:r>
          </w:p>
        </w:tc>
        <w:tc>
          <w:tcPr>
            <w:tcW w:w="1573" w:type="dxa"/>
            <w:hideMark/>
          </w:tcPr>
          <w:p w14:paraId="20F1422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Media literacy, mental health, identity formation, digital navigation behaviors</w:t>
            </w:r>
          </w:p>
        </w:tc>
        <w:tc>
          <w:tcPr>
            <w:tcW w:w="1271" w:type="dxa"/>
            <w:hideMark/>
          </w:tcPr>
          <w:p w14:paraId="628460B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Digital media and fake news exposure complicated identity formation and contributed to psychological vulnerability among early adolescents. Students navigated digital information without structured critical evaluation frameworks.</w:t>
            </w:r>
          </w:p>
        </w:tc>
      </w:tr>
      <w:tr w:rsidR="00A179C6" w:rsidRPr="0012240D" w14:paraId="47C62C13" w14:textId="77777777" w:rsidTr="0012240D">
        <w:trPr>
          <w:trHeight w:val="1440"/>
        </w:trPr>
        <w:tc>
          <w:tcPr>
            <w:tcW w:w="1333" w:type="dxa"/>
            <w:hideMark/>
          </w:tcPr>
          <w:p w14:paraId="441FC4B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Sciarretta et al., 2024</w:t>
            </w:r>
          </w:p>
        </w:tc>
        <w:tc>
          <w:tcPr>
            <w:tcW w:w="652" w:type="dxa"/>
            <w:hideMark/>
          </w:tcPr>
          <w:p w14:paraId="11CAD0B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2024</w:t>
            </w:r>
          </w:p>
        </w:tc>
        <w:tc>
          <w:tcPr>
            <w:tcW w:w="1542" w:type="dxa"/>
            <w:hideMark/>
          </w:tcPr>
          <w:p w14:paraId="62FCE8F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1B832A1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11F2C20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290B0C5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15-19</w:t>
            </w:r>
          </w:p>
        </w:tc>
        <w:tc>
          <w:tcPr>
            <w:tcW w:w="1011" w:type="dxa"/>
            <w:hideMark/>
          </w:tcPr>
          <w:p w14:paraId="247FDEE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High school students and teachers, Italy</w:t>
            </w:r>
          </w:p>
        </w:tc>
        <w:tc>
          <w:tcPr>
            <w:tcW w:w="1147" w:type="dxa"/>
            <w:hideMark/>
          </w:tcPr>
          <w:p w14:paraId="5896AED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Pseudoscientific beliefs (quantum mechanics, science)</w:t>
            </w:r>
          </w:p>
        </w:tc>
        <w:tc>
          <w:tcPr>
            <w:tcW w:w="1163" w:type="dxa"/>
            <w:hideMark/>
          </w:tcPr>
          <w:p w14:paraId="27BF2C8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w:t>
            </w:r>
          </w:p>
        </w:tc>
        <w:tc>
          <w:tcPr>
            <w:tcW w:w="984" w:type="dxa"/>
            <w:hideMark/>
          </w:tcPr>
          <w:p w14:paraId="6C1CF60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digital information ecosystems</w:t>
            </w:r>
          </w:p>
        </w:tc>
        <w:tc>
          <w:tcPr>
            <w:tcW w:w="1573" w:type="dxa"/>
            <w:hideMark/>
          </w:tcPr>
          <w:p w14:paraId="2E16B44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Pseudoscientific beliefs, conspiracy theory endorsement, institutional science distrust</w:t>
            </w:r>
          </w:p>
        </w:tc>
        <w:tc>
          <w:tcPr>
            <w:tcW w:w="1271" w:type="dxa"/>
            <w:hideMark/>
          </w:tcPr>
          <w:p w14:paraId="380F8DF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Pseudoscientific beliefs in quantum mechanics prevalent among Italian students and </w:t>
            </w:r>
            <w:r w:rsidRPr="0012240D">
              <w:rPr>
                <w:rFonts w:ascii="Arial Narrow" w:eastAsia="Times New Roman" w:hAnsi="Arial Narrow" w:cs="Arial"/>
                <w:kern w:val="0"/>
                <w:sz w:val="20"/>
                <w:szCs w:val="20"/>
                <w:lang w:val="en-US" w:eastAsia="es-CL"/>
                <w14:ligatures w14:val="none"/>
              </w:rPr>
              <w:lastRenderedPageBreak/>
              <w:t>teachers, significantly associated with conspiracy thinking and science distrust. COVID-19 context heightened vulnerability to science fake news. Educational system demonstrated limited capacity to inoculate against science misinformation.</w:t>
            </w:r>
          </w:p>
        </w:tc>
      </w:tr>
      <w:tr w:rsidR="00A179C6" w:rsidRPr="0012240D" w14:paraId="7A8AB958" w14:textId="77777777" w:rsidTr="0012240D">
        <w:trPr>
          <w:trHeight w:val="1200"/>
        </w:trPr>
        <w:tc>
          <w:tcPr>
            <w:tcW w:w="1333" w:type="dxa"/>
            <w:hideMark/>
          </w:tcPr>
          <w:p w14:paraId="1895AB9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Seo et al., 2025</w:t>
            </w:r>
          </w:p>
        </w:tc>
        <w:tc>
          <w:tcPr>
            <w:tcW w:w="652" w:type="dxa"/>
            <w:hideMark/>
          </w:tcPr>
          <w:p w14:paraId="40E4C62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5C33145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methods survey (online)</w:t>
            </w:r>
          </w:p>
        </w:tc>
        <w:tc>
          <w:tcPr>
            <w:tcW w:w="954" w:type="dxa"/>
            <w:hideMark/>
          </w:tcPr>
          <w:p w14:paraId="2E9F48D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methods</w:t>
            </w:r>
          </w:p>
        </w:tc>
        <w:tc>
          <w:tcPr>
            <w:tcW w:w="636" w:type="dxa"/>
            <w:hideMark/>
          </w:tcPr>
          <w:p w14:paraId="2FB9F25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0B91C63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14-18</w:t>
            </w:r>
          </w:p>
        </w:tc>
        <w:tc>
          <w:tcPr>
            <w:tcW w:w="1011" w:type="dxa"/>
            <w:hideMark/>
          </w:tcPr>
          <w:p w14:paraId="0B8FEB7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High school teenage girls, United States</w:t>
            </w:r>
          </w:p>
        </w:tc>
        <w:tc>
          <w:tcPr>
            <w:tcW w:w="1147" w:type="dxa"/>
            <w:hideMark/>
          </w:tcPr>
          <w:p w14:paraId="2B49B68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misinformation (body image, mental health, reproductive health)</w:t>
            </w:r>
          </w:p>
        </w:tc>
        <w:tc>
          <w:tcPr>
            <w:tcW w:w="1163" w:type="dxa"/>
            <w:hideMark/>
          </w:tcPr>
          <w:p w14:paraId="45EB777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misinformation</w:t>
            </w:r>
          </w:p>
        </w:tc>
        <w:tc>
          <w:tcPr>
            <w:tcW w:w="984" w:type="dxa"/>
            <w:hideMark/>
          </w:tcPr>
          <w:p w14:paraId="7553BD3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TikTok, Instagram, YouTube</w:t>
            </w:r>
          </w:p>
        </w:tc>
        <w:tc>
          <w:tcPr>
            <w:tcW w:w="1573" w:type="dxa"/>
            <w:hideMark/>
          </w:tcPr>
          <w:p w14:paraId="288ED9C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information navigation, credibility assessment barriers, algorithmic exposure</w:t>
            </w:r>
          </w:p>
        </w:tc>
        <w:tc>
          <w:tcPr>
            <w:tcW w:w="1271" w:type="dxa"/>
            <w:hideMark/>
          </w:tcPr>
          <w:p w14:paraId="0B453EE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Engagement-driven algorithms promoted misleading health content. Peer validation through likes served as credibility heuristics. Algorithmic amplification of body image, reproductive health, and mental health misinformation </w:t>
            </w:r>
            <w:r w:rsidRPr="0012240D">
              <w:rPr>
                <w:rFonts w:ascii="Arial Narrow" w:eastAsia="Times New Roman" w:hAnsi="Arial Narrow" w:cs="Arial"/>
                <w:kern w:val="0"/>
                <w:sz w:val="20"/>
                <w:szCs w:val="20"/>
                <w:lang w:val="en-US" w:eastAsia="es-CL"/>
                <w14:ligatures w14:val="none"/>
              </w:rPr>
              <w:lastRenderedPageBreak/>
              <w:t>identified as major concern.</w:t>
            </w:r>
          </w:p>
        </w:tc>
      </w:tr>
      <w:tr w:rsidR="00A179C6" w:rsidRPr="0012240D" w14:paraId="4F4E0F7D" w14:textId="77777777" w:rsidTr="0012240D">
        <w:trPr>
          <w:trHeight w:val="1200"/>
        </w:trPr>
        <w:tc>
          <w:tcPr>
            <w:tcW w:w="1333" w:type="dxa"/>
            <w:hideMark/>
          </w:tcPr>
          <w:p w14:paraId="36F5633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proofErr w:type="spellStart"/>
            <w:r w:rsidRPr="0012240D">
              <w:rPr>
                <w:rFonts w:ascii="Arial Narrow" w:eastAsia="Times New Roman" w:hAnsi="Arial Narrow" w:cs="Arial"/>
                <w:kern w:val="0"/>
                <w:sz w:val="20"/>
                <w:szCs w:val="20"/>
                <w:lang w:val="en-US" w:eastAsia="es-CL"/>
                <w14:ligatures w14:val="none"/>
              </w:rPr>
              <w:lastRenderedPageBreak/>
              <w:t>Sestini</w:t>
            </w:r>
            <w:proofErr w:type="spellEnd"/>
            <w:r w:rsidRPr="0012240D">
              <w:rPr>
                <w:rFonts w:ascii="Arial Narrow" w:eastAsia="Times New Roman" w:hAnsi="Arial Narrow" w:cs="Arial"/>
                <w:kern w:val="0"/>
                <w:sz w:val="20"/>
                <w:szCs w:val="20"/>
                <w:lang w:val="en-US" w:eastAsia="es-CL"/>
                <w14:ligatures w14:val="none"/>
              </w:rPr>
              <w:t xml:space="preserve"> et al., 2025</w:t>
            </w:r>
          </w:p>
        </w:tc>
        <w:tc>
          <w:tcPr>
            <w:tcW w:w="652" w:type="dxa"/>
            <w:hideMark/>
          </w:tcPr>
          <w:p w14:paraId="7EEC5E1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6CD70C3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Randomized survey experiment</w:t>
            </w:r>
          </w:p>
        </w:tc>
        <w:tc>
          <w:tcPr>
            <w:tcW w:w="954" w:type="dxa"/>
            <w:hideMark/>
          </w:tcPr>
          <w:p w14:paraId="10FCFA8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Experimental</w:t>
            </w:r>
          </w:p>
        </w:tc>
        <w:tc>
          <w:tcPr>
            <w:tcW w:w="636" w:type="dxa"/>
            <w:hideMark/>
          </w:tcPr>
          <w:p w14:paraId="5424688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1433</w:t>
            </w:r>
          </w:p>
        </w:tc>
        <w:tc>
          <w:tcPr>
            <w:tcW w:w="1302" w:type="dxa"/>
            <w:hideMark/>
          </w:tcPr>
          <w:p w14:paraId="13CA1E0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15-19</w:t>
            </w:r>
          </w:p>
        </w:tc>
        <w:tc>
          <w:tcPr>
            <w:tcW w:w="1011" w:type="dxa"/>
            <w:hideMark/>
          </w:tcPr>
          <w:p w14:paraId="353D4CC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Italian high school students (N=1,433)</w:t>
            </w:r>
          </w:p>
        </w:tc>
        <w:tc>
          <w:tcPr>
            <w:tcW w:w="1147" w:type="dxa"/>
            <w:hideMark/>
          </w:tcPr>
          <w:p w14:paraId="0BB8279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and scientific misinformation (institutional trust effects)</w:t>
            </w:r>
          </w:p>
        </w:tc>
        <w:tc>
          <w:tcPr>
            <w:tcW w:w="1163" w:type="dxa"/>
            <w:hideMark/>
          </w:tcPr>
          <w:p w14:paraId="32D2D06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w:t>
            </w:r>
          </w:p>
        </w:tc>
        <w:tc>
          <w:tcPr>
            <w:tcW w:w="984" w:type="dxa"/>
            <w:hideMark/>
          </w:tcPr>
          <w:p w14:paraId="5C90BF8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health information context</w:t>
            </w:r>
          </w:p>
        </w:tc>
        <w:tc>
          <w:tcPr>
            <w:tcW w:w="1573" w:type="dxa"/>
            <w:hideMark/>
          </w:tcPr>
          <w:p w14:paraId="381070E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Institutional trust (healthcare, education, politics, judiciary, defense), scientific trust</w:t>
            </w:r>
          </w:p>
        </w:tc>
        <w:tc>
          <w:tcPr>
            <w:tcW w:w="1271" w:type="dxa"/>
            <w:hideMark/>
          </w:tcPr>
          <w:p w14:paraId="69C896C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Randomized experiment with 1,433 Italian high school students demonstrated causal relationships between information context and institutional trust. Misinformation exposure significantly reduced trust in health and science institutions. Three experimental conditions revealed differential trust effects.</w:t>
            </w:r>
          </w:p>
        </w:tc>
      </w:tr>
      <w:tr w:rsidR="00A179C6" w:rsidRPr="0012240D" w14:paraId="4BC0E6C7" w14:textId="77777777" w:rsidTr="0012240D">
        <w:trPr>
          <w:trHeight w:val="960"/>
        </w:trPr>
        <w:tc>
          <w:tcPr>
            <w:tcW w:w="1333" w:type="dxa"/>
            <w:hideMark/>
          </w:tcPr>
          <w:p w14:paraId="00B5002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proofErr w:type="spellStart"/>
            <w:r w:rsidRPr="0012240D">
              <w:rPr>
                <w:rFonts w:ascii="Arial Narrow" w:eastAsia="Times New Roman" w:hAnsi="Arial Narrow" w:cs="Arial"/>
                <w:kern w:val="0"/>
                <w:sz w:val="20"/>
                <w:szCs w:val="20"/>
                <w:lang w:val="en-US" w:eastAsia="es-CL"/>
                <w14:ligatures w14:val="none"/>
              </w:rPr>
              <w:t>Sialubanje</w:t>
            </w:r>
            <w:proofErr w:type="spellEnd"/>
            <w:r w:rsidRPr="0012240D">
              <w:rPr>
                <w:rFonts w:ascii="Arial Narrow" w:eastAsia="Times New Roman" w:hAnsi="Arial Narrow" w:cs="Arial"/>
                <w:kern w:val="0"/>
                <w:sz w:val="20"/>
                <w:szCs w:val="20"/>
                <w:lang w:val="en-US" w:eastAsia="es-CL"/>
                <w14:ligatures w14:val="none"/>
              </w:rPr>
              <w:t xml:space="preserve"> et al., 2022</w:t>
            </w:r>
          </w:p>
        </w:tc>
        <w:tc>
          <w:tcPr>
            <w:tcW w:w="652" w:type="dxa"/>
            <w:hideMark/>
          </w:tcPr>
          <w:p w14:paraId="3AD3DEE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2022</w:t>
            </w:r>
          </w:p>
        </w:tc>
        <w:tc>
          <w:tcPr>
            <w:tcW w:w="1542" w:type="dxa"/>
            <w:hideMark/>
          </w:tcPr>
          <w:p w14:paraId="684EBB6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Qualitative - FGDs and in-depth interviews</w:t>
            </w:r>
          </w:p>
        </w:tc>
        <w:tc>
          <w:tcPr>
            <w:tcW w:w="954" w:type="dxa"/>
            <w:hideMark/>
          </w:tcPr>
          <w:p w14:paraId="2F77878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Qualitative</w:t>
            </w:r>
          </w:p>
        </w:tc>
        <w:tc>
          <w:tcPr>
            <w:tcW w:w="636" w:type="dxa"/>
            <w:hideMark/>
          </w:tcPr>
          <w:p w14:paraId="17961EB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7525AE9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(community including adolescents)</w:t>
            </w:r>
          </w:p>
        </w:tc>
        <w:tc>
          <w:tcPr>
            <w:tcW w:w="1011" w:type="dxa"/>
            <w:hideMark/>
          </w:tcPr>
          <w:p w14:paraId="053C333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Community members and health workers, Zambia</w:t>
            </w:r>
          </w:p>
        </w:tc>
        <w:tc>
          <w:tcPr>
            <w:tcW w:w="1147" w:type="dxa"/>
            <w:hideMark/>
          </w:tcPr>
          <w:p w14:paraId="7184D9A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vaccine misinformation</w:t>
            </w:r>
          </w:p>
        </w:tc>
        <w:tc>
          <w:tcPr>
            <w:tcW w:w="1163" w:type="dxa"/>
            <w:hideMark/>
          </w:tcPr>
          <w:p w14:paraId="109FE43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Vaccine misinformation</w:t>
            </w:r>
          </w:p>
        </w:tc>
        <w:tc>
          <w:tcPr>
            <w:tcW w:w="984" w:type="dxa"/>
            <w:hideMark/>
          </w:tcPr>
          <w:p w14:paraId="6103037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WhatsApp (primary)</w:t>
            </w:r>
          </w:p>
        </w:tc>
        <w:tc>
          <w:tcPr>
            <w:tcW w:w="1573" w:type="dxa"/>
            <w:hideMark/>
          </w:tcPr>
          <w:p w14:paraId="4BAA001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COVID-19 vaccine perspectives, hesitancy determinants, social media </w:t>
            </w:r>
            <w:r w:rsidRPr="0012240D">
              <w:rPr>
                <w:rFonts w:ascii="Arial Narrow" w:eastAsia="Times New Roman" w:hAnsi="Arial Narrow" w:cs="Arial"/>
                <w:kern w:val="0"/>
                <w:sz w:val="20"/>
                <w:szCs w:val="20"/>
                <w:lang w:val="en-US" w:eastAsia="es-CL"/>
                <w14:ligatures w14:val="none"/>
              </w:rPr>
              <w:lastRenderedPageBreak/>
              <w:t>misinformation influence</w:t>
            </w:r>
          </w:p>
        </w:tc>
        <w:tc>
          <w:tcPr>
            <w:tcW w:w="1271" w:type="dxa"/>
            <w:hideMark/>
          </w:tcPr>
          <w:p w14:paraId="53D2743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 xml:space="preserve">COVID-19 vaccine uptake significantly influenced by social media misinformation. </w:t>
            </w:r>
            <w:r w:rsidRPr="0012240D">
              <w:rPr>
                <w:rFonts w:ascii="Arial Narrow" w:eastAsia="Times New Roman" w:hAnsi="Arial Narrow" w:cs="Arial"/>
                <w:kern w:val="0"/>
                <w:sz w:val="20"/>
                <w:szCs w:val="20"/>
                <w:lang w:val="en-US" w:eastAsia="es-CL"/>
                <w14:ligatures w14:val="none"/>
              </w:rPr>
              <w:lastRenderedPageBreak/>
              <w:t>WhatsApp primary channel for anti-vaccine misinformation. Health worker trust key protective factor. Younger community members particularly susceptible.</w:t>
            </w:r>
          </w:p>
        </w:tc>
      </w:tr>
      <w:tr w:rsidR="00A179C6" w:rsidRPr="0012240D" w14:paraId="42F288D3" w14:textId="77777777" w:rsidTr="0012240D">
        <w:trPr>
          <w:trHeight w:val="1200"/>
        </w:trPr>
        <w:tc>
          <w:tcPr>
            <w:tcW w:w="1333" w:type="dxa"/>
            <w:hideMark/>
          </w:tcPr>
          <w:p w14:paraId="42622BB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Siani et al., 2024</w:t>
            </w:r>
          </w:p>
        </w:tc>
        <w:tc>
          <w:tcPr>
            <w:tcW w:w="652" w:type="dxa"/>
            <w:hideMark/>
          </w:tcPr>
          <w:p w14:paraId="4B3514D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2024</w:t>
            </w:r>
          </w:p>
        </w:tc>
        <w:tc>
          <w:tcPr>
            <w:tcW w:w="1542" w:type="dxa"/>
            <w:hideMark/>
          </w:tcPr>
          <w:p w14:paraId="6487EB9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4D66907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72C037E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532DBEF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14-18</w:t>
            </w:r>
          </w:p>
        </w:tc>
        <w:tc>
          <w:tcPr>
            <w:tcW w:w="1011" w:type="dxa"/>
            <w:hideMark/>
          </w:tcPr>
          <w:p w14:paraId="30B58C0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Secondary school students, United Kingdom</w:t>
            </w:r>
          </w:p>
        </w:tc>
        <w:tc>
          <w:tcPr>
            <w:tcW w:w="1147" w:type="dxa"/>
            <w:hideMark/>
          </w:tcPr>
          <w:p w14:paraId="3FC8A79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 (health and science domains)</w:t>
            </w:r>
          </w:p>
        </w:tc>
        <w:tc>
          <w:tcPr>
            <w:tcW w:w="1163" w:type="dxa"/>
            <w:hideMark/>
          </w:tcPr>
          <w:p w14:paraId="0FD2A35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w:t>
            </w:r>
          </w:p>
        </w:tc>
        <w:tc>
          <w:tcPr>
            <w:tcW w:w="984" w:type="dxa"/>
            <w:hideMark/>
          </w:tcPr>
          <w:p w14:paraId="1ED1767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online news</w:t>
            </w:r>
          </w:p>
        </w:tc>
        <w:tc>
          <w:tcPr>
            <w:tcW w:w="1573" w:type="dxa"/>
            <w:hideMark/>
          </w:tcPr>
          <w:p w14:paraId="64BA3A4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Susceptibility to scientific misinformation, news source reliability perception</w:t>
            </w:r>
          </w:p>
        </w:tc>
        <w:tc>
          <w:tcPr>
            <w:tcW w:w="1271" w:type="dxa"/>
            <w:hideMark/>
          </w:tcPr>
          <w:p w14:paraId="575A6C1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UK secondary students showed significant susceptibility to scientific misinformation in the post-truth context. Limited ability to assess news source reliability. Bots and automated misinformation identified as amplifying factors. Need for tools to discriminate facts from fiction.</w:t>
            </w:r>
          </w:p>
        </w:tc>
      </w:tr>
      <w:tr w:rsidR="00A179C6" w:rsidRPr="0012240D" w14:paraId="56E0D34C" w14:textId="77777777" w:rsidTr="0012240D">
        <w:trPr>
          <w:trHeight w:val="960"/>
        </w:trPr>
        <w:tc>
          <w:tcPr>
            <w:tcW w:w="1333" w:type="dxa"/>
            <w:hideMark/>
          </w:tcPr>
          <w:p w14:paraId="6D77DCE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Siani &amp; Gennari, 2025</w:t>
            </w:r>
          </w:p>
        </w:tc>
        <w:tc>
          <w:tcPr>
            <w:tcW w:w="652" w:type="dxa"/>
            <w:hideMark/>
          </w:tcPr>
          <w:p w14:paraId="2A6219A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77A9B9A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 (anonymous online)</w:t>
            </w:r>
          </w:p>
        </w:tc>
        <w:tc>
          <w:tcPr>
            <w:tcW w:w="954" w:type="dxa"/>
            <w:hideMark/>
          </w:tcPr>
          <w:p w14:paraId="454366A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45C4DBD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381</w:t>
            </w:r>
          </w:p>
        </w:tc>
        <w:tc>
          <w:tcPr>
            <w:tcW w:w="1302" w:type="dxa"/>
            <w:hideMark/>
          </w:tcPr>
          <w:p w14:paraId="2C31DD0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14-19</w:t>
            </w:r>
          </w:p>
        </w:tc>
        <w:tc>
          <w:tcPr>
            <w:tcW w:w="1011" w:type="dxa"/>
            <w:hideMark/>
          </w:tcPr>
          <w:p w14:paraId="47B1ECC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Secondary school students, Southern Italy (N=381)</w:t>
            </w:r>
          </w:p>
        </w:tc>
        <w:tc>
          <w:tcPr>
            <w:tcW w:w="1147" w:type="dxa"/>
            <w:hideMark/>
          </w:tcPr>
          <w:p w14:paraId="0FD62E1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 and disinformation</w:t>
            </w:r>
          </w:p>
        </w:tc>
        <w:tc>
          <w:tcPr>
            <w:tcW w:w="1163" w:type="dxa"/>
            <w:hideMark/>
          </w:tcPr>
          <w:p w14:paraId="26B31C5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w:t>
            </w:r>
          </w:p>
        </w:tc>
        <w:tc>
          <w:tcPr>
            <w:tcW w:w="984" w:type="dxa"/>
            <w:hideMark/>
          </w:tcPr>
          <w:p w14:paraId="40533CB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Multiple online platforms (social media, general)</w:t>
            </w:r>
          </w:p>
        </w:tc>
        <w:tc>
          <w:tcPr>
            <w:tcW w:w="1573" w:type="dxa"/>
            <w:hideMark/>
          </w:tcPr>
          <w:p w14:paraId="544C8BF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Scientific misinformation susceptibility, news source perception, information evaluation</w:t>
            </w:r>
          </w:p>
        </w:tc>
        <w:tc>
          <w:tcPr>
            <w:tcW w:w="1271" w:type="dxa"/>
            <w:hideMark/>
          </w:tcPr>
          <w:p w14:paraId="17A2AD5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381 Italian secondary students showed significant susceptibility to scientific misinformation. News source reliability poorly calibrated. Online platforms primary scientific information sources with significant quality implications.</w:t>
            </w:r>
          </w:p>
        </w:tc>
      </w:tr>
      <w:tr w:rsidR="00A179C6" w:rsidRPr="0012240D" w14:paraId="37B96B4A" w14:textId="77777777" w:rsidTr="0012240D">
        <w:trPr>
          <w:trHeight w:val="1200"/>
        </w:trPr>
        <w:tc>
          <w:tcPr>
            <w:tcW w:w="1333" w:type="dxa"/>
            <w:hideMark/>
          </w:tcPr>
          <w:p w14:paraId="0A16EBA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Suttor et al., 2023</w:t>
            </w:r>
          </w:p>
        </w:tc>
        <w:tc>
          <w:tcPr>
            <w:tcW w:w="652" w:type="dxa"/>
            <w:hideMark/>
          </w:tcPr>
          <w:p w14:paraId="2C5AD50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2023</w:t>
            </w:r>
          </w:p>
        </w:tc>
        <w:tc>
          <w:tcPr>
            <w:tcW w:w="1542" w:type="dxa"/>
            <w:hideMark/>
          </w:tcPr>
          <w:p w14:paraId="1F1FD90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Qualitative - ethnographic/participatory</w:t>
            </w:r>
          </w:p>
        </w:tc>
        <w:tc>
          <w:tcPr>
            <w:tcW w:w="954" w:type="dxa"/>
            <w:hideMark/>
          </w:tcPr>
          <w:p w14:paraId="23D4FE7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Qualitative</w:t>
            </w:r>
          </w:p>
        </w:tc>
        <w:tc>
          <w:tcPr>
            <w:tcW w:w="636" w:type="dxa"/>
            <w:hideMark/>
          </w:tcPr>
          <w:p w14:paraId="3D33D64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08B1407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12-18</w:t>
            </w:r>
          </w:p>
        </w:tc>
        <w:tc>
          <w:tcPr>
            <w:tcW w:w="1011" w:type="dxa"/>
            <w:hideMark/>
          </w:tcPr>
          <w:p w14:paraId="678DD67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Adolescent schoolgirls, Gianyar and Denpasar City, Bali, Indonesia</w:t>
            </w:r>
          </w:p>
        </w:tc>
        <w:tc>
          <w:tcPr>
            <w:tcW w:w="1147" w:type="dxa"/>
            <w:hideMark/>
          </w:tcPr>
          <w:p w14:paraId="4769879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Menstrual health misinformation</w:t>
            </w:r>
          </w:p>
        </w:tc>
        <w:tc>
          <w:tcPr>
            <w:tcW w:w="1163" w:type="dxa"/>
            <w:hideMark/>
          </w:tcPr>
          <w:p w14:paraId="3683AF6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Sexual and reproductive health misinformation</w:t>
            </w:r>
          </w:p>
        </w:tc>
        <w:tc>
          <w:tcPr>
            <w:tcW w:w="984" w:type="dxa"/>
            <w:hideMark/>
          </w:tcPr>
          <w:p w14:paraId="74EDE74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health apps, web-based platforms</w:t>
            </w:r>
          </w:p>
        </w:tc>
        <w:tc>
          <w:tcPr>
            <w:tcW w:w="1573" w:type="dxa"/>
            <w:hideMark/>
          </w:tcPr>
          <w:p w14:paraId="65CF54B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Health information-seeking behaviors, menstrual health knowledge, credibility evaluation</w:t>
            </w:r>
          </w:p>
        </w:tc>
        <w:tc>
          <w:tcPr>
            <w:tcW w:w="1271" w:type="dxa"/>
            <w:hideMark/>
          </w:tcPr>
          <w:p w14:paraId="5DF2692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Social media and online platforms primary sources of menstrual health information, frequently inaccurate. Girls encountered both accurate and misleading content with limited credibility evaluation </w:t>
            </w:r>
            <w:r w:rsidRPr="0012240D">
              <w:rPr>
                <w:rFonts w:ascii="Arial Narrow" w:eastAsia="Times New Roman" w:hAnsi="Arial Narrow" w:cs="Arial"/>
                <w:kern w:val="0"/>
                <w:sz w:val="20"/>
                <w:szCs w:val="20"/>
                <w:lang w:val="en-US" w:eastAsia="es-CL"/>
                <w14:ligatures w14:val="none"/>
              </w:rPr>
              <w:lastRenderedPageBreak/>
              <w:t>capacity. Cultural taboos and absence of formal sexual health education contributed to reliance on unverified online sources.</w:t>
            </w:r>
          </w:p>
        </w:tc>
      </w:tr>
      <w:tr w:rsidR="00A179C6" w:rsidRPr="0012240D" w14:paraId="195F5559" w14:textId="77777777" w:rsidTr="0012240D">
        <w:trPr>
          <w:trHeight w:val="1200"/>
        </w:trPr>
        <w:tc>
          <w:tcPr>
            <w:tcW w:w="1333" w:type="dxa"/>
            <w:hideMark/>
          </w:tcPr>
          <w:p w14:paraId="5F55D97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Takahashi et al., 2025</w:t>
            </w:r>
          </w:p>
        </w:tc>
        <w:tc>
          <w:tcPr>
            <w:tcW w:w="652" w:type="dxa"/>
            <w:hideMark/>
          </w:tcPr>
          <w:p w14:paraId="7B846D1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0546919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 (web-based)</w:t>
            </w:r>
          </w:p>
        </w:tc>
        <w:tc>
          <w:tcPr>
            <w:tcW w:w="954" w:type="dxa"/>
            <w:hideMark/>
          </w:tcPr>
          <w:p w14:paraId="7F4B830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0EED859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492AF5F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15-16 (and mothers)</w:t>
            </w:r>
          </w:p>
        </w:tc>
        <w:tc>
          <w:tcPr>
            <w:tcW w:w="1011" w:type="dxa"/>
            <w:hideMark/>
          </w:tcPr>
          <w:p w14:paraId="47C02FF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Female high school students aged 15-16 and their mothers, Japan</w:t>
            </w:r>
          </w:p>
        </w:tc>
        <w:tc>
          <w:tcPr>
            <w:tcW w:w="1147" w:type="dxa"/>
            <w:hideMark/>
          </w:tcPr>
          <w:p w14:paraId="32FCF87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HPV vaccine misinformation</w:t>
            </w:r>
          </w:p>
        </w:tc>
        <w:tc>
          <w:tcPr>
            <w:tcW w:w="1163" w:type="dxa"/>
            <w:hideMark/>
          </w:tcPr>
          <w:p w14:paraId="2DD3B52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Vaccine misinformation</w:t>
            </w:r>
          </w:p>
        </w:tc>
        <w:tc>
          <w:tcPr>
            <w:tcW w:w="984" w:type="dxa"/>
            <w:hideMark/>
          </w:tcPr>
          <w:p w14:paraId="2DD8A80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Web-based platforms, social media (general)</w:t>
            </w:r>
          </w:p>
        </w:tc>
        <w:tc>
          <w:tcPr>
            <w:tcW w:w="1573" w:type="dxa"/>
            <w:hideMark/>
          </w:tcPr>
          <w:p w14:paraId="6BB2E3B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HPV vaccine attitudes, vaccination intentions, information awareness effects</w:t>
            </w:r>
          </w:p>
        </w:tc>
        <w:tc>
          <w:tcPr>
            <w:tcW w:w="1271" w:type="dxa"/>
            <w:hideMark/>
          </w:tcPr>
          <w:p w14:paraId="48D7C9A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Information awareness significantly influenced HPV vaccination intentions. Japan has critically low HPV vaccination rates linked to social media-amplified misinformation. Evidence-based information presentation improved intentions. Maternal influence mediated adolescent vaccine decision-making.</w:t>
            </w:r>
          </w:p>
        </w:tc>
      </w:tr>
      <w:tr w:rsidR="00A179C6" w:rsidRPr="0012240D" w14:paraId="23538B02" w14:textId="77777777" w:rsidTr="0012240D">
        <w:trPr>
          <w:trHeight w:val="1200"/>
        </w:trPr>
        <w:tc>
          <w:tcPr>
            <w:tcW w:w="1333" w:type="dxa"/>
            <w:hideMark/>
          </w:tcPr>
          <w:p w14:paraId="7959F6B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Taylor-Abdulai et al., 2025</w:t>
            </w:r>
          </w:p>
        </w:tc>
        <w:tc>
          <w:tcPr>
            <w:tcW w:w="652" w:type="dxa"/>
            <w:hideMark/>
          </w:tcPr>
          <w:p w14:paraId="0B5AE45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15C2784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608C38F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7E72566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377</w:t>
            </w:r>
          </w:p>
        </w:tc>
        <w:tc>
          <w:tcPr>
            <w:tcW w:w="1302" w:type="dxa"/>
            <w:hideMark/>
          </w:tcPr>
          <w:p w14:paraId="0368FB1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(includes adolescents/young adults)</w:t>
            </w:r>
          </w:p>
        </w:tc>
        <w:tc>
          <w:tcPr>
            <w:tcW w:w="1011" w:type="dxa"/>
            <w:hideMark/>
          </w:tcPr>
          <w:p w14:paraId="2C29904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Urban dwellers, Central Region, Ghana (N=377)</w:t>
            </w:r>
          </w:p>
        </w:tc>
        <w:tc>
          <w:tcPr>
            <w:tcW w:w="1147" w:type="dxa"/>
            <w:hideMark/>
          </w:tcPr>
          <w:p w14:paraId="519044A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vaccine misinformation</w:t>
            </w:r>
          </w:p>
        </w:tc>
        <w:tc>
          <w:tcPr>
            <w:tcW w:w="1163" w:type="dxa"/>
            <w:hideMark/>
          </w:tcPr>
          <w:p w14:paraId="26A6FDE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Vaccine misinformation</w:t>
            </w:r>
          </w:p>
        </w:tc>
        <w:tc>
          <w:tcPr>
            <w:tcW w:w="984" w:type="dxa"/>
            <w:hideMark/>
          </w:tcPr>
          <w:p w14:paraId="6F687AE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w:t>
            </w:r>
          </w:p>
        </w:tc>
        <w:tc>
          <w:tcPr>
            <w:tcW w:w="1573" w:type="dxa"/>
            <w:hideMark/>
          </w:tcPr>
          <w:p w14:paraId="16411D1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COVID-19 vaccine acceptability/hesitancy, social media misinformation influence</w:t>
            </w:r>
          </w:p>
        </w:tc>
        <w:tc>
          <w:tcPr>
            <w:tcW w:w="1271" w:type="dxa"/>
            <w:hideMark/>
          </w:tcPr>
          <w:p w14:paraId="5B067F6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Significant COVID-19 vaccine hesitancy among urban Ghanaians; social media misinformation a key determinant. Context-specific barriers: distrust of pharmaceutical companies, religious beliefs, and social media narratives. Younger adults showed distinctive hesitancy patterns.</w:t>
            </w:r>
          </w:p>
        </w:tc>
      </w:tr>
      <w:tr w:rsidR="00A179C6" w:rsidRPr="0012240D" w14:paraId="1A6EAF2A" w14:textId="77777777" w:rsidTr="0012240D">
        <w:trPr>
          <w:trHeight w:val="1200"/>
        </w:trPr>
        <w:tc>
          <w:tcPr>
            <w:tcW w:w="1333" w:type="dxa"/>
            <w:hideMark/>
          </w:tcPr>
          <w:p w14:paraId="5708A2B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proofErr w:type="spellStart"/>
            <w:r w:rsidRPr="0012240D">
              <w:rPr>
                <w:rFonts w:ascii="Arial Narrow" w:eastAsia="Times New Roman" w:hAnsi="Arial Narrow" w:cs="Arial"/>
                <w:kern w:val="0"/>
                <w:sz w:val="20"/>
                <w:szCs w:val="20"/>
                <w:lang w:val="en-US" w:eastAsia="es-CL"/>
                <w14:ligatures w14:val="none"/>
              </w:rPr>
              <w:t>Umerani</w:t>
            </w:r>
            <w:proofErr w:type="spellEnd"/>
            <w:r w:rsidRPr="0012240D">
              <w:rPr>
                <w:rFonts w:ascii="Arial Narrow" w:eastAsia="Times New Roman" w:hAnsi="Arial Narrow" w:cs="Arial"/>
                <w:kern w:val="0"/>
                <w:sz w:val="20"/>
                <w:szCs w:val="20"/>
                <w:lang w:val="en-US" w:eastAsia="es-CL"/>
                <w14:ligatures w14:val="none"/>
              </w:rPr>
              <w:t xml:space="preserve"> et al., 2024</w:t>
            </w:r>
          </w:p>
        </w:tc>
        <w:tc>
          <w:tcPr>
            <w:tcW w:w="652" w:type="dxa"/>
            <w:hideMark/>
          </w:tcPr>
          <w:p w14:paraId="0157424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2024</w:t>
            </w:r>
          </w:p>
        </w:tc>
        <w:tc>
          <w:tcPr>
            <w:tcW w:w="1542" w:type="dxa"/>
            <w:hideMark/>
          </w:tcPr>
          <w:p w14:paraId="3FC0E48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Pre-post survey (educational intervention)</w:t>
            </w:r>
          </w:p>
        </w:tc>
        <w:tc>
          <w:tcPr>
            <w:tcW w:w="954" w:type="dxa"/>
            <w:hideMark/>
          </w:tcPr>
          <w:p w14:paraId="660D05F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Experimental</w:t>
            </w:r>
          </w:p>
        </w:tc>
        <w:tc>
          <w:tcPr>
            <w:tcW w:w="636" w:type="dxa"/>
            <w:hideMark/>
          </w:tcPr>
          <w:p w14:paraId="1CA9FBB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402A7D6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10-18</w:t>
            </w:r>
          </w:p>
        </w:tc>
        <w:tc>
          <w:tcPr>
            <w:tcW w:w="1011" w:type="dxa"/>
            <w:hideMark/>
          </w:tcPr>
          <w:p w14:paraId="37AAE07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Middle and high school students (10-18 years), United States</w:t>
            </w:r>
          </w:p>
        </w:tc>
        <w:tc>
          <w:tcPr>
            <w:tcW w:w="1147" w:type="dxa"/>
            <w:hideMark/>
          </w:tcPr>
          <w:p w14:paraId="31716C1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Mental health misinformation via social media</w:t>
            </w:r>
          </w:p>
        </w:tc>
        <w:tc>
          <w:tcPr>
            <w:tcW w:w="1163" w:type="dxa"/>
            <w:hideMark/>
          </w:tcPr>
          <w:p w14:paraId="674CF07E"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Mental health misinformation</w:t>
            </w:r>
          </w:p>
        </w:tc>
        <w:tc>
          <w:tcPr>
            <w:tcW w:w="984" w:type="dxa"/>
            <w:hideMark/>
          </w:tcPr>
          <w:p w14:paraId="0DB303D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(context); board game as intervention</w:t>
            </w:r>
          </w:p>
        </w:tc>
        <w:tc>
          <w:tcPr>
            <w:tcW w:w="1573" w:type="dxa"/>
            <w:hideMark/>
          </w:tcPr>
          <w:p w14:paraId="27A62DF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Mental health understanding, misinformation awareness, attitudes toward mental health</w:t>
            </w:r>
          </w:p>
        </w:tc>
        <w:tc>
          <w:tcPr>
            <w:tcW w:w="1271" w:type="dxa"/>
            <w:hideMark/>
          </w:tcPr>
          <w:p w14:paraId="2D3D0ED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Educational board game improved mental health literacy and counter-misinformation capacity among 10-18-year-olds. Social media identified as primary vector </w:t>
            </w:r>
            <w:r w:rsidRPr="0012240D">
              <w:rPr>
                <w:rFonts w:ascii="Arial Narrow" w:eastAsia="Times New Roman" w:hAnsi="Arial Narrow" w:cs="Arial"/>
                <w:kern w:val="0"/>
                <w:sz w:val="20"/>
                <w:szCs w:val="20"/>
                <w:lang w:val="en-US" w:eastAsia="es-CL"/>
                <w14:ligatures w14:val="none"/>
              </w:rPr>
              <w:lastRenderedPageBreak/>
              <w:t>for mental health misinformation. Gamification proposed as accessible counter-misinformation strategy.</w:t>
            </w:r>
          </w:p>
        </w:tc>
      </w:tr>
      <w:tr w:rsidR="00A179C6" w:rsidRPr="0012240D" w14:paraId="6EBF924D" w14:textId="77777777" w:rsidTr="0012240D">
        <w:trPr>
          <w:trHeight w:val="1440"/>
        </w:trPr>
        <w:tc>
          <w:tcPr>
            <w:tcW w:w="1333" w:type="dxa"/>
            <w:hideMark/>
          </w:tcPr>
          <w:p w14:paraId="2342911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lastRenderedPageBreak/>
              <w:t>Yu et al., 2025</w:t>
            </w:r>
          </w:p>
        </w:tc>
        <w:tc>
          <w:tcPr>
            <w:tcW w:w="652" w:type="dxa"/>
            <w:hideMark/>
          </w:tcPr>
          <w:p w14:paraId="4BC3CC2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2025</w:t>
            </w:r>
          </w:p>
        </w:tc>
        <w:tc>
          <w:tcPr>
            <w:tcW w:w="1542" w:type="dxa"/>
            <w:hideMark/>
          </w:tcPr>
          <w:p w14:paraId="2C285AD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Content analysis + qualitative interviews</w:t>
            </w:r>
          </w:p>
        </w:tc>
        <w:tc>
          <w:tcPr>
            <w:tcW w:w="954" w:type="dxa"/>
            <w:hideMark/>
          </w:tcPr>
          <w:p w14:paraId="233295E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Mixed methods</w:t>
            </w:r>
          </w:p>
        </w:tc>
        <w:tc>
          <w:tcPr>
            <w:tcW w:w="636" w:type="dxa"/>
            <w:hideMark/>
          </w:tcPr>
          <w:p w14:paraId="66AD423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w:t>
            </w:r>
          </w:p>
        </w:tc>
        <w:tc>
          <w:tcPr>
            <w:tcW w:w="1302" w:type="dxa"/>
            <w:hideMark/>
          </w:tcPr>
          <w:p w14:paraId="1FD2118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13-17 (teenagers); adults (parents)</w:t>
            </w:r>
          </w:p>
        </w:tc>
        <w:tc>
          <w:tcPr>
            <w:tcW w:w="1011" w:type="dxa"/>
            <w:hideMark/>
          </w:tcPr>
          <w:p w14:paraId="1580ED3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7 teenagers and 13 parents, United States</w:t>
            </w:r>
          </w:p>
        </w:tc>
        <w:tc>
          <w:tcPr>
            <w:tcW w:w="1147" w:type="dxa"/>
            <w:hideMark/>
          </w:tcPr>
          <w:p w14:paraId="0E1863E5"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AI-generated misinformation; generative AI safety risks</w:t>
            </w:r>
          </w:p>
        </w:tc>
        <w:tc>
          <w:tcPr>
            <w:tcW w:w="1163" w:type="dxa"/>
            <w:hideMark/>
          </w:tcPr>
          <w:p w14:paraId="58BCFBA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AI-related misinformation</w:t>
            </w:r>
          </w:p>
        </w:tc>
        <w:tc>
          <w:tcPr>
            <w:tcW w:w="984" w:type="dxa"/>
            <w:hideMark/>
          </w:tcPr>
          <w:p w14:paraId="650FA0C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Reddit, AI chatbot platforms (generative AI)</w:t>
            </w:r>
          </w:p>
        </w:tc>
        <w:tc>
          <w:tcPr>
            <w:tcW w:w="1573" w:type="dxa"/>
            <w:hideMark/>
          </w:tcPr>
          <w:p w14:paraId="2398652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AI safety perceptions, parental awareness gaps, emotional AI use, generative AI misinformation risks</w:t>
            </w:r>
          </w:p>
        </w:tc>
        <w:tc>
          <w:tcPr>
            <w:tcW w:w="1271" w:type="dxa"/>
            <w:hideMark/>
          </w:tcPr>
          <w:p w14:paraId="286CBDF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Significant gap between parental awareness and teen generative AI (GAI) use. Teens use GAI for emotional support, academics, and creative activities, frequently encountering AI-generated misinformation. Parental controls largely ineffective for GAI platforms. Design implications identified for safer generative AI environments.</w:t>
            </w:r>
          </w:p>
        </w:tc>
      </w:tr>
      <w:tr w:rsidR="00A179C6" w:rsidRPr="0012240D" w14:paraId="3E8C48FF" w14:textId="77777777" w:rsidTr="0012240D">
        <w:trPr>
          <w:trHeight w:val="1200"/>
        </w:trPr>
        <w:tc>
          <w:tcPr>
            <w:tcW w:w="1333" w:type="dxa"/>
            <w:hideMark/>
          </w:tcPr>
          <w:p w14:paraId="465C865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proofErr w:type="spellStart"/>
            <w:r w:rsidRPr="0012240D">
              <w:rPr>
                <w:rFonts w:ascii="Arial Narrow" w:eastAsia="Times New Roman" w:hAnsi="Arial Narrow" w:cs="Arial"/>
                <w:kern w:val="0"/>
                <w:sz w:val="20"/>
                <w:szCs w:val="20"/>
                <w:lang w:val="en-US" w:eastAsia="es-CL"/>
                <w14:ligatures w14:val="none"/>
              </w:rPr>
              <w:lastRenderedPageBreak/>
              <w:t>Yurtdas-Depboylu</w:t>
            </w:r>
            <w:proofErr w:type="spellEnd"/>
            <w:r w:rsidRPr="0012240D">
              <w:rPr>
                <w:rFonts w:ascii="Arial Narrow" w:eastAsia="Times New Roman" w:hAnsi="Arial Narrow" w:cs="Arial"/>
                <w:kern w:val="0"/>
                <w:sz w:val="20"/>
                <w:szCs w:val="20"/>
                <w:lang w:val="en-US" w:eastAsia="es-CL"/>
                <w14:ligatures w14:val="none"/>
              </w:rPr>
              <w:t xml:space="preserve"> et al., 2022</w:t>
            </w:r>
          </w:p>
        </w:tc>
        <w:tc>
          <w:tcPr>
            <w:tcW w:w="652" w:type="dxa"/>
            <w:hideMark/>
          </w:tcPr>
          <w:p w14:paraId="66998C1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2022</w:t>
            </w:r>
          </w:p>
        </w:tc>
        <w:tc>
          <w:tcPr>
            <w:tcW w:w="1542" w:type="dxa"/>
            <w:hideMark/>
          </w:tcPr>
          <w:p w14:paraId="62045F93"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Cross-sectional survey</w:t>
            </w:r>
          </w:p>
        </w:tc>
        <w:tc>
          <w:tcPr>
            <w:tcW w:w="954" w:type="dxa"/>
            <w:hideMark/>
          </w:tcPr>
          <w:p w14:paraId="5CD383B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Quantitative</w:t>
            </w:r>
          </w:p>
        </w:tc>
        <w:tc>
          <w:tcPr>
            <w:tcW w:w="636" w:type="dxa"/>
            <w:hideMark/>
          </w:tcPr>
          <w:p w14:paraId="3970B9E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1232</w:t>
            </w:r>
          </w:p>
        </w:tc>
        <w:tc>
          <w:tcPr>
            <w:tcW w:w="1302" w:type="dxa"/>
            <w:hideMark/>
          </w:tcPr>
          <w:p w14:paraId="3497C1A2"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14-18</w:t>
            </w:r>
          </w:p>
        </w:tc>
        <w:tc>
          <w:tcPr>
            <w:tcW w:w="1011" w:type="dxa"/>
            <w:hideMark/>
          </w:tcPr>
          <w:p w14:paraId="4CDF6E4B"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High school adolescents, Turkey (N=1,232)</w:t>
            </w:r>
          </w:p>
        </w:tc>
        <w:tc>
          <w:tcPr>
            <w:tcW w:w="1147" w:type="dxa"/>
            <w:hideMark/>
          </w:tcPr>
          <w:p w14:paraId="32970F1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Nutritional and body image misinformation via social media</w:t>
            </w:r>
          </w:p>
        </w:tc>
        <w:tc>
          <w:tcPr>
            <w:tcW w:w="1163" w:type="dxa"/>
            <w:hideMark/>
          </w:tcPr>
          <w:p w14:paraId="682B732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Body image/nutritional misinformation</w:t>
            </w:r>
          </w:p>
        </w:tc>
        <w:tc>
          <w:tcPr>
            <w:tcW w:w="984" w:type="dxa"/>
            <w:hideMark/>
          </w:tcPr>
          <w:p w14:paraId="65EE3C31"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(Social Media Addiction Scale; general)</w:t>
            </w:r>
          </w:p>
        </w:tc>
        <w:tc>
          <w:tcPr>
            <w:tcW w:w="1573" w:type="dxa"/>
            <w:hideMark/>
          </w:tcPr>
          <w:p w14:paraId="7F88228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addiction, orthorexia nervosa, eating attitudes, body image</w:t>
            </w:r>
          </w:p>
        </w:tc>
        <w:tc>
          <w:tcPr>
            <w:tcW w:w="1271" w:type="dxa"/>
            <w:hideMark/>
          </w:tcPr>
          <w:p w14:paraId="24A08EA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addiction in 1,232 Turkish adolescents significantly associated with orthorexia nervosa, disordered eating attitudes, and body image concerns. Addiction levels higher in girls. Independent associations between social media addiction and eating pathology in multivariate analyses.</w:t>
            </w:r>
          </w:p>
        </w:tc>
      </w:tr>
      <w:tr w:rsidR="00A179C6" w:rsidRPr="0012240D" w14:paraId="11E2318F" w14:textId="77777777" w:rsidTr="0012240D">
        <w:trPr>
          <w:trHeight w:val="1200"/>
        </w:trPr>
        <w:tc>
          <w:tcPr>
            <w:tcW w:w="1333" w:type="dxa"/>
            <w:hideMark/>
          </w:tcPr>
          <w:p w14:paraId="26D9334F"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proofErr w:type="spellStart"/>
            <w:r w:rsidRPr="0012240D">
              <w:rPr>
                <w:rFonts w:ascii="Arial Narrow" w:eastAsia="Times New Roman" w:hAnsi="Arial Narrow" w:cs="Arial"/>
                <w:kern w:val="0"/>
                <w:sz w:val="20"/>
                <w:szCs w:val="20"/>
                <w:lang w:val="en-US" w:eastAsia="es-CL"/>
                <w14:ligatures w14:val="none"/>
              </w:rPr>
              <w:t>Zamponi</w:t>
            </w:r>
            <w:proofErr w:type="spellEnd"/>
            <w:r w:rsidRPr="0012240D">
              <w:rPr>
                <w:rFonts w:ascii="Arial Narrow" w:eastAsia="Times New Roman" w:hAnsi="Arial Narrow" w:cs="Arial"/>
                <w:kern w:val="0"/>
                <w:sz w:val="20"/>
                <w:szCs w:val="20"/>
                <w:lang w:val="en-US" w:eastAsia="es-CL"/>
                <w14:ligatures w14:val="none"/>
              </w:rPr>
              <w:t xml:space="preserve"> et al., 2024</w:t>
            </w:r>
          </w:p>
        </w:tc>
        <w:tc>
          <w:tcPr>
            <w:tcW w:w="652" w:type="dxa"/>
            <w:hideMark/>
          </w:tcPr>
          <w:p w14:paraId="75921AEA"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2024</w:t>
            </w:r>
          </w:p>
        </w:tc>
        <w:tc>
          <w:tcPr>
            <w:tcW w:w="1542" w:type="dxa"/>
            <w:hideMark/>
          </w:tcPr>
          <w:p w14:paraId="304A73D7"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Longitudinal interventional study</w:t>
            </w:r>
          </w:p>
        </w:tc>
        <w:tc>
          <w:tcPr>
            <w:tcW w:w="954" w:type="dxa"/>
            <w:hideMark/>
          </w:tcPr>
          <w:p w14:paraId="334AD8E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Experimental</w:t>
            </w:r>
          </w:p>
        </w:tc>
        <w:tc>
          <w:tcPr>
            <w:tcW w:w="636" w:type="dxa"/>
            <w:hideMark/>
          </w:tcPr>
          <w:p w14:paraId="59701DA6"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NR</w:t>
            </w:r>
          </w:p>
        </w:tc>
        <w:tc>
          <w:tcPr>
            <w:tcW w:w="1302" w:type="dxa"/>
            <w:hideMark/>
          </w:tcPr>
          <w:p w14:paraId="3D2E57F0"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14-19</w:t>
            </w:r>
          </w:p>
        </w:tc>
        <w:tc>
          <w:tcPr>
            <w:tcW w:w="1011" w:type="dxa"/>
            <w:hideMark/>
          </w:tcPr>
          <w:p w14:paraId="61A9CE84"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High school students in Italy (pre- and post-sexual education program)</w:t>
            </w:r>
          </w:p>
        </w:tc>
        <w:tc>
          <w:tcPr>
            <w:tcW w:w="1147" w:type="dxa"/>
            <w:hideMark/>
          </w:tcPr>
          <w:p w14:paraId="4A649889"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Sexual and reproductive health misinformation</w:t>
            </w:r>
          </w:p>
        </w:tc>
        <w:tc>
          <w:tcPr>
            <w:tcW w:w="1163" w:type="dxa"/>
            <w:hideMark/>
          </w:tcPr>
          <w:p w14:paraId="103C9FE8"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SRH misinformation</w:t>
            </w:r>
          </w:p>
        </w:tc>
        <w:tc>
          <w:tcPr>
            <w:tcW w:w="984" w:type="dxa"/>
            <w:hideMark/>
          </w:tcPr>
          <w:p w14:paraId="00CF3C7C"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Social media (general), digital sources</w:t>
            </w:r>
          </w:p>
        </w:tc>
        <w:tc>
          <w:tcPr>
            <w:tcW w:w="1573" w:type="dxa"/>
            <w:hideMark/>
          </w:tcPr>
          <w:p w14:paraId="2950132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Sexual and reproductive health knowledge, information sources, gender differences, program effectiveness</w:t>
            </w:r>
          </w:p>
        </w:tc>
        <w:tc>
          <w:tcPr>
            <w:tcW w:w="1271" w:type="dxa"/>
            <w:hideMark/>
          </w:tcPr>
          <w:p w14:paraId="7FFC6CAD" w14:textId="77777777" w:rsidR="00A179C6" w:rsidRPr="0012240D" w:rsidRDefault="00A179C6" w:rsidP="00A179C6">
            <w:pPr>
              <w:spacing w:after="0" w:line="240" w:lineRule="auto"/>
              <w:rPr>
                <w:rFonts w:ascii="Arial Narrow" w:eastAsia="Times New Roman" w:hAnsi="Arial Narrow" w:cs="Arial"/>
                <w:kern w:val="0"/>
                <w:sz w:val="20"/>
                <w:szCs w:val="20"/>
                <w:lang w:val="en-US" w:eastAsia="es-CL"/>
                <w14:ligatures w14:val="none"/>
              </w:rPr>
            </w:pPr>
            <w:r w:rsidRPr="0012240D">
              <w:rPr>
                <w:rFonts w:ascii="Arial Narrow" w:eastAsia="Times New Roman" w:hAnsi="Arial Narrow" w:cs="Arial"/>
                <w:kern w:val="0"/>
                <w:sz w:val="20"/>
                <w:szCs w:val="20"/>
                <w:lang w:val="en-US" w:eastAsia="es-CL"/>
                <w14:ligatures w14:val="none"/>
              </w:rPr>
              <w:t xml:space="preserve">Low baseline SRH knowledge among Italian high school students; social media primary but often inaccurate SRH information source. Absence of </w:t>
            </w:r>
            <w:r w:rsidRPr="0012240D">
              <w:rPr>
                <w:rFonts w:ascii="Arial Narrow" w:eastAsia="Times New Roman" w:hAnsi="Arial Narrow" w:cs="Arial"/>
                <w:kern w:val="0"/>
                <w:sz w:val="20"/>
                <w:szCs w:val="20"/>
                <w:lang w:val="en-US" w:eastAsia="es-CL"/>
                <w14:ligatures w14:val="none"/>
              </w:rPr>
              <w:lastRenderedPageBreak/>
              <w:t>national sexual education contributed to social media reliance. Educational intervention significantly improved knowledge. Gender differences documented.</w:t>
            </w:r>
          </w:p>
        </w:tc>
      </w:tr>
    </w:tbl>
    <w:p w14:paraId="79EF3CCF" w14:textId="77777777" w:rsidR="00A179C6" w:rsidRPr="00A179C6" w:rsidRDefault="00A179C6">
      <w:pPr>
        <w:rPr>
          <w:lang w:val="en-US"/>
        </w:rPr>
      </w:pPr>
    </w:p>
    <w:sectPr w:rsidR="00A179C6" w:rsidRPr="00A179C6" w:rsidSect="00A179C6">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C6"/>
    <w:rsid w:val="000F48B3"/>
    <w:rsid w:val="0012240D"/>
    <w:rsid w:val="00140796"/>
    <w:rsid w:val="00555EE6"/>
    <w:rsid w:val="00621122"/>
    <w:rsid w:val="007639CF"/>
    <w:rsid w:val="00A179C6"/>
    <w:rsid w:val="00AF5D6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5802"/>
  <w15:chartTrackingRefBased/>
  <w15:docId w15:val="{BE30AA37-5FBC-49BA-969C-4FBE85E7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17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7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79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79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79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79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79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79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79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79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79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79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79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79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79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79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79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79C6"/>
    <w:rPr>
      <w:rFonts w:eastAsiaTheme="majorEastAsia" w:cstheme="majorBidi"/>
      <w:color w:val="272727" w:themeColor="text1" w:themeTint="D8"/>
    </w:rPr>
  </w:style>
  <w:style w:type="paragraph" w:styleId="Ttulo">
    <w:name w:val="Title"/>
    <w:basedOn w:val="Normal"/>
    <w:next w:val="Normal"/>
    <w:link w:val="TtuloCar"/>
    <w:uiPriority w:val="10"/>
    <w:qFormat/>
    <w:rsid w:val="00A17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79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79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79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79C6"/>
    <w:pPr>
      <w:spacing w:before="160"/>
      <w:jc w:val="center"/>
    </w:pPr>
    <w:rPr>
      <w:i/>
      <w:iCs/>
      <w:color w:val="404040" w:themeColor="text1" w:themeTint="BF"/>
    </w:rPr>
  </w:style>
  <w:style w:type="character" w:customStyle="1" w:styleId="CitaCar">
    <w:name w:val="Cita Car"/>
    <w:basedOn w:val="Fuentedeprrafopredeter"/>
    <w:link w:val="Cita"/>
    <w:uiPriority w:val="29"/>
    <w:rsid w:val="00A179C6"/>
    <w:rPr>
      <w:i/>
      <w:iCs/>
      <w:color w:val="404040" w:themeColor="text1" w:themeTint="BF"/>
    </w:rPr>
  </w:style>
  <w:style w:type="paragraph" w:styleId="Prrafodelista">
    <w:name w:val="List Paragraph"/>
    <w:basedOn w:val="Normal"/>
    <w:uiPriority w:val="34"/>
    <w:qFormat/>
    <w:rsid w:val="00A179C6"/>
    <w:pPr>
      <w:ind w:left="720"/>
      <w:contextualSpacing/>
    </w:pPr>
  </w:style>
  <w:style w:type="character" w:styleId="nfasisintenso">
    <w:name w:val="Intense Emphasis"/>
    <w:basedOn w:val="Fuentedeprrafopredeter"/>
    <w:uiPriority w:val="21"/>
    <w:qFormat/>
    <w:rsid w:val="00A179C6"/>
    <w:rPr>
      <w:i/>
      <w:iCs/>
      <w:color w:val="0F4761" w:themeColor="accent1" w:themeShade="BF"/>
    </w:rPr>
  </w:style>
  <w:style w:type="paragraph" w:styleId="Citadestacada">
    <w:name w:val="Intense Quote"/>
    <w:basedOn w:val="Normal"/>
    <w:next w:val="Normal"/>
    <w:link w:val="CitadestacadaCar"/>
    <w:uiPriority w:val="30"/>
    <w:qFormat/>
    <w:rsid w:val="00A17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79C6"/>
    <w:rPr>
      <w:i/>
      <w:iCs/>
      <w:color w:val="0F4761" w:themeColor="accent1" w:themeShade="BF"/>
    </w:rPr>
  </w:style>
  <w:style w:type="character" w:styleId="Referenciaintensa">
    <w:name w:val="Intense Reference"/>
    <w:basedOn w:val="Fuentedeprrafopredeter"/>
    <w:uiPriority w:val="32"/>
    <w:qFormat/>
    <w:rsid w:val="00A179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2607</Words>
  <Characters>14342</Characters>
  <Application>Microsoft Office Word</Application>
  <DocSecurity>0</DocSecurity>
  <Lines>119</Lines>
  <Paragraphs>33</Paragraphs>
  <ScaleCrop>false</ScaleCrop>
  <Company/>
  <LinksUpToDate>false</LinksUpToDate>
  <CharactersWithSpaces>16916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Chaple</dc:creator>
  <cp:keywords/>
  <dc:description/>
  <cp:lastModifiedBy>Alain Chaple</cp:lastModifiedBy>
  <cp:revision>2</cp:revision>
  <dcterms:created xsi:type="dcterms:W3CDTF">2026-05-13T21:31:00Z</dcterms:created>
  <dcterms:modified xsi:type="dcterms:W3CDTF">2026-05-14T21:38:00Z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18f71809-1154-4ba6-a474-1226edb8cc50</vt:lpwstr>
  </property>
</Properties>
</file>