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2651F" w14:textId="42C70E2A" w:rsidR="00140796" w:rsidRPr="00180F06" w:rsidRDefault="006953AC">
      <w:pPr>
        <w:rPr>
          <w:lang w:val="en-US"/>
        </w:rPr>
      </w:pPr>
      <w:r w:rsidRPr="00180F06">
        <w:rPr>
          <w:b/>
          <w:bCs/>
          <w:lang w:val="en-US"/>
        </w:rPr>
        <w:t>Supplementary File 5</w:t>
      </w:r>
      <w:r w:rsidRPr="00254C87">
        <w:rPr>
          <w:lang w:val="en-US"/>
        </w:rPr>
        <w:t xml:space="preserve">. </w:t>
      </w:r>
      <w:r w:rsidR="00180F06" w:rsidRPr="00180F06">
        <w:rPr>
          <w:lang w:val="en-US"/>
        </w:rPr>
        <w:t>Thematic Narrative Synthesis of Scientific and Health-Related Misinformation Exposure and Associated Outcomes Among Adolescents</w:t>
      </w:r>
    </w:p>
    <w:tbl>
      <w:tblPr>
        <w:tblW w:w="1643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0"/>
        <w:gridCol w:w="2920"/>
        <w:gridCol w:w="2977"/>
        <w:gridCol w:w="2693"/>
        <w:gridCol w:w="1843"/>
        <w:gridCol w:w="1273"/>
        <w:gridCol w:w="2409"/>
      </w:tblGrid>
      <w:tr w:rsidR="006953AC" w:rsidRPr="00254C87" w14:paraId="76FE628F" w14:textId="77777777" w:rsidTr="006953AC">
        <w:trPr>
          <w:trHeight w:val="900"/>
        </w:trPr>
        <w:tc>
          <w:tcPr>
            <w:tcW w:w="2320" w:type="dxa"/>
            <w:vAlign w:val="center"/>
            <w:hideMark/>
          </w:tcPr>
          <w:p w14:paraId="2B210114" w14:textId="77777777" w:rsidR="006953AC" w:rsidRPr="00254C87" w:rsidRDefault="006953AC" w:rsidP="006953A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  <w:t>Citation</w:t>
            </w:r>
          </w:p>
        </w:tc>
        <w:tc>
          <w:tcPr>
            <w:tcW w:w="2920" w:type="dxa"/>
            <w:vAlign w:val="center"/>
            <w:hideMark/>
          </w:tcPr>
          <w:p w14:paraId="3FEC9DCF" w14:textId="77777777" w:rsidR="006953AC" w:rsidRPr="00254C87" w:rsidRDefault="006953AC" w:rsidP="006953A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  <w:t>Health Misinformation &amp; Risk Perception</w:t>
            </w:r>
          </w:p>
        </w:tc>
        <w:tc>
          <w:tcPr>
            <w:tcW w:w="2977" w:type="dxa"/>
            <w:vAlign w:val="center"/>
            <w:hideMark/>
          </w:tcPr>
          <w:p w14:paraId="736EDDFF" w14:textId="77777777" w:rsidR="006953AC" w:rsidRPr="00254C87" w:rsidRDefault="006953AC" w:rsidP="006953A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  <w:t>Social Media Exposure &amp; Behavioral Responses</w:t>
            </w:r>
          </w:p>
        </w:tc>
        <w:tc>
          <w:tcPr>
            <w:tcW w:w="2693" w:type="dxa"/>
            <w:vAlign w:val="center"/>
            <w:hideMark/>
          </w:tcPr>
          <w:p w14:paraId="7F476AA1" w14:textId="77777777" w:rsidR="006953AC" w:rsidRPr="00254C87" w:rsidRDefault="006953AC" w:rsidP="006953A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  <w:t>Digital Literacy &amp; Critical Evaluation Skills</w:t>
            </w:r>
          </w:p>
        </w:tc>
        <w:tc>
          <w:tcPr>
            <w:tcW w:w="1843" w:type="dxa"/>
            <w:vAlign w:val="center"/>
            <w:hideMark/>
          </w:tcPr>
          <w:p w14:paraId="71D2B160" w14:textId="77777777" w:rsidR="006953AC" w:rsidRPr="00254C87" w:rsidRDefault="006953AC" w:rsidP="006953A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  <w:t>Psychosocial &amp; Emotional Consequences</w:t>
            </w:r>
          </w:p>
        </w:tc>
        <w:tc>
          <w:tcPr>
            <w:tcW w:w="1273" w:type="dxa"/>
            <w:vAlign w:val="center"/>
            <w:hideMark/>
          </w:tcPr>
          <w:p w14:paraId="3AEB98B3" w14:textId="77777777" w:rsidR="006953AC" w:rsidRPr="00254C87" w:rsidRDefault="006953AC" w:rsidP="006953A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  <w:t>AI, Algorithmic Exposure &amp; Emerging Risks</w:t>
            </w:r>
          </w:p>
        </w:tc>
        <w:tc>
          <w:tcPr>
            <w:tcW w:w="2409" w:type="dxa"/>
            <w:vAlign w:val="center"/>
            <w:hideMark/>
          </w:tcPr>
          <w:p w14:paraId="7B4DE95C" w14:textId="77777777" w:rsidR="006953AC" w:rsidRPr="00254C87" w:rsidRDefault="006953AC" w:rsidP="006953AC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b/>
                <w:bCs/>
                <w:kern w:val="0"/>
                <w:sz w:val="20"/>
                <w:szCs w:val="20"/>
                <w:lang w:val="en-US" w:eastAsia="es-CL"/>
                <w14:ligatures w14:val="none"/>
              </w:rPr>
              <w:t>Educational &amp; Preventive Interventions</w:t>
            </w:r>
          </w:p>
        </w:tc>
      </w:tr>
      <w:tr w:rsidR="006953AC" w:rsidRPr="00254C87" w14:paraId="217738C8" w14:textId="77777777" w:rsidTr="006953AC">
        <w:trPr>
          <w:trHeight w:val="720"/>
        </w:trPr>
        <w:tc>
          <w:tcPr>
            <w:tcW w:w="2320" w:type="dxa"/>
            <w:hideMark/>
          </w:tcPr>
          <w:p w14:paraId="1817F6C5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Baptista et al., 2022</w:t>
            </w:r>
          </w:p>
        </w:tc>
        <w:tc>
          <w:tcPr>
            <w:tcW w:w="2920" w:type="dxa"/>
            <w:hideMark/>
          </w:tcPr>
          <w:p w14:paraId="6703A7BB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Limited capacity to distinguish credible information; social media use positively associated with fake news belief.</w:t>
            </w:r>
          </w:p>
        </w:tc>
        <w:tc>
          <w:tcPr>
            <w:tcW w:w="2977" w:type="dxa"/>
            <w:hideMark/>
          </w:tcPr>
          <w:p w14:paraId="12469737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Predominantly passive information-seeking; rarely cross-referenced sources.</w:t>
            </w:r>
          </w:p>
        </w:tc>
        <w:tc>
          <w:tcPr>
            <w:tcW w:w="2693" w:type="dxa"/>
            <w:hideMark/>
          </w:tcPr>
          <w:p w14:paraId="3923CA22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Critical evaluation skills underdeveloped; lack of systematic fact-checking strategies.</w:t>
            </w:r>
          </w:p>
        </w:tc>
        <w:tc>
          <w:tcPr>
            <w:tcW w:w="1843" w:type="dxa"/>
            <w:hideMark/>
          </w:tcPr>
          <w:p w14:paraId="2D0E5A30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Not specifically assessed.</w:t>
            </w:r>
          </w:p>
        </w:tc>
        <w:tc>
          <w:tcPr>
            <w:tcW w:w="1273" w:type="dxa"/>
            <w:hideMark/>
          </w:tcPr>
          <w:p w14:paraId="1AA6A321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Not assessed.</w:t>
            </w:r>
          </w:p>
        </w:tc>
        <w:tc>
          <w:tcPr>
            <w:tcW w:w="2409" w:type="dxa"/>
            <w:hideMark/>
          </w:tcPr>
          <w:p w14:paraId="05CCEB9A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Critical media literacy programs for adolescents recommended.</w:t>
            </w:r>
          </w:p>
        </w:tc>
      </w:tr>
      <w:tr w:rsidR="006953AC" w:rsidRPr="00254C87" w14:paraId="1C8616EF" w14:textId="77777777" w:rsidTr="006953AC">
        <w:trPr>
          <w:trHeight w:val="480"/>
        </w:trPr>
        <w:tc>
          <w:tcPr>
            <w:tcW w:w="2320" w:type="dxa"/>
            <w:hideMark/>
          </w:tcPr>
          <w:p w14:paraId="75CA0F38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Belova et al., 2022</w:t>
            </w:r>
          </w:p>
        </w:tc>
        <w:tc>
          <w:tcPr>
            <w:tcW w:w="2920" w:type="dxa"/>
            <w:hideMark/>
          </w:tcPr>
          <w:p w14:paraId="76921D89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Peer validation as primary credibility heuristic; science misinformation risks underestimated.</w:t>
            </w:r>
          </w:p>
        </w:tc>
        <w:tc>
          <w:tcPr>
            <w:tcW w:w="2977" w:type="dxa"/>
            <w:hideMark/>
          </w:tcPr>
          <w:p w14:paraId="5E83FE03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 xml:space="preserve">Passive engagement predominant; information </w:t>
            </w:r>
            <w:proofErr w:type="gramStart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often</w:t>
            </w:r>
            <w:proofErr w:type="gramEnd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 xml:space="preserve"> ignored rather than actively verified.</w:t>
            </w:r>
          </w:p>
        </w:tc>
        <w:tc>
          <w:tcPr>
            <w:tcW w:w="2693" w:type="dxa"/>
            <w:hideMark/>
          </w:tcPr>
          <w:p w14:paraId="08B4B300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Variable strategies; peer comparison predominated over evidence-based verification.</w:t>
            </w:r>
          </w:p>
        </w:tc>
        <w:tc>
          <w:tcPr>
            <w:tcW w:w="1843" w:type="dxa"/>
            <w:hideMark/>
          </w:tcPr>
          <w:p w14:paraId="1743CEC9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Social context and peer dynamics shaped information evaluation behaviors.</w:t>
            </w:r>
          </w:p>
        </w:tc>
        <w:tc>
          <w:tcPr>
            <w:tcW w:w="1273" w:type="dxa"/>
            <w:hideMark/>
          </w:tcPr>
          <w:p w14:paraId="1F60A8F2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Not assessed.</w:t>
            </w:r>
          </w:p>
        </w:tc>
        <w:tc>
          <w:tcPr>
            <w:tcW w:w="2409" w:type="dxa"/>
            <w:hideMark/>
          </w:tcPr>
          <w:p w14:paraId="5A3E2108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Formal critical media literacy education within science curricula recommended.</w:t>
            </w:r>
          </w:p>
        </w:tc>
      </w:tr>
      <w:tr w:rsidR="006953AC" w:rsidRPr="00254C87" w14:paraId="100CCA12" w14:textId="77777777" w:rsidTr="006953AC">
        <w:trPr>
          <w:trHeight w:val="720"/>
        </w:trPr>
        <w:tc>
          <w:tcPr>
            <w:tcW w:w="2320" w:type="dxa"/>
            <w:hideMark/>
          </w:tcPr>
          <w:p w14:paraId="5F2A9F4C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Bernsteiner et al., 2023</w:t>
            </w:r>
          </w:p>
        </w:tc>
        <w:tc>
          <w:tcPr>
            <w:tcW w:w="2920" w:type="dxa"/>
            <w:hideMark/>
          </w:tcPr>
          <w:p w14:paraId="5D4CC804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Limited pre-intervention capacity to evaluate credibility; post-intervention improvements documented.</w:t>
            </w:r>
          </w:p>
        </w:tc>
        <w:tc>
          <w:tcPr>
            <w:tcW w:w="2977" w:type="dxa"/>
            <w:hideMark/>
          </w:tcPr>
          <w:p w14:paraId="65A22D93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Passive consumption pre-intervention; critical practices improved post-intervention.</w:t>
            </w:r>
          </w:p>
        </w:tc>
        <w:tc>
          <w:tcPr>
            <w:tcW w:w="2693" w:type="dxa"/>
            <w:hideMark/>
          </w:tcPr>
          <w:p w14:paraId="19BB49D4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Educational intervention significantly enhanced critical evaluation; teachers as adolescent media literacy mediators.</w:t>
            </w:r>
          </w:p>
        </w:tc>
        <w:tc>
          <w:tcPr>
            <w:tcW w:w="1843" w:type="dxa"/>
            <w:hideMark/>
          </w:tcPr>
          <w:p w14:paraId="410C134C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Misinformation during crises associated with uncertainty and reduced institutional trust.</w:t>
            </w:r>
          </w:p>
        </w:tc>
        <w:tc>
          <w:tcPr>
            <w:tcW w:w="1273" w:type="dxa"/>
            <w:hideMark/>
          </w:tcPr>
          <w:p w14:paraId="074D16D1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Not assessed.</w:t>
            </w:r>
          </w:p>
        </w:tc>
        <w:tc>
          <w:tcPr>
            <w:tcW w:w="2409" w:type="dxa"/>
            <w:hideMark/>
          </w:tcPr>
          <w:p w14:paraId="3370F8FD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Structured educational module promoting critical information evaluation; future teachers as key agents for adolescent media literacy.</w:t>
            </w:r>
          </w:p>
        </w:tc>
      </w:tr>
      <w:tr w:rsidR="006953AC" w:rsidRPr="00254C87" w14:paraId="197F213B" w14:textId="77777777" w:rsidTr="006953AC">
        <w:trPr>
          <w:trHeight w:val="720"/>
        </w:trPr>
        <w:tc>
          <w:tcPr>
            <w:tcW w:w="2320" w:type="dxa"/>
            <w:hideMark/>
          </w:tcPr>
          <w:p w14:paraId="55B0C4F1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Bowler, 2022</w:t>
            </w:r>
          </w:p>
        </w:tc>
        <w:tc>
          <w:tcPr>
            <w:tcW w:w="2920" w:type="dxa"/>
            <w:hideMark/>
          </w:tcPr>
          <w:p w14:paraId="4701967F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Confusion and distorted risk perception due to inconsistent COVID-19 information across platforms.</w:t>
            </w:r>
          </w:p>
        </w:tc>
        <w:tc>
          <w:tcPr>
            <w:tcW w:w="2977" w:type="dxa"/>
            <w:hideMark/>
          </w:tcPr>
          <w:p w14:paraId="22F76B5E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Reactive, emotion-driven information-seeking; social media as primary source despite doubts.</w:t>
            </w:r>
          </w:p>
        </w:tc>
        <w:tc>
          <w:tcPr>
            <w:tcW w:w="2693" w:type="dxa"/>
            <w:hideMark/>
          </w:tcPr>
          <w:p w14:paraId="08DEB7D7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Significant challenges in credibility assessment; tools to evaluate information quality lacking.</w:t>
            </w:r>
          </w:p>
        </w:tc>
        <w:tc>
          <w:tcPr>
            <w:tcW w:w="1843" w:type="dxa"/>
            <w:hideMark/>
          </w:tcPr>
          <w:p w14:paraId="633F598B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Pronounced emotional distress: fear, hopelessness, confusion linked to misinformation exposure.</w:t>
            </w:r>
          </w:p>
        </w:tc>
        <w:tc>
          <w:tcPr>
            <w:tcW w:w="1273" w:type="dxa"/>
            <w:hideMark/>
          </w:tcPr>
          <w:p w14:paraId="105B0A4F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Not assessed.</w:t>
            </w:r>
          </w:p>
        </w:tc>
        <w:tc>
          <w:tcPr>
            <w:tcW w:w="2409" w:type="dxa"/>
            <w:hideMark/>
          </w:tcPr>
          <w:p w14:paraId="0FA71FE4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Information literacy education and school-based support during health crises recommended.</w:t>
            </w:r>
          </w:p>
        </w:tc>
      </w:tr>
      <w:tr w:rsidR="006953AC" w:rsidRPr="00254C87" w14:paraId="3FF8FB28" w14:textId="77777777" w:rsidTr="006953AC">
        <w:trPr>
          <w:trHeight w:val="720"/>
        </w:trPr>
        <w:tc>
          <w:tcPr>
            <w:tcW w:w="2320" w:type="dxa"/>
            <w:hideMark/>
          </w:tcPr>
          <w:p w14:paraId="3D2A9F23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Bui et al., 2025</w:t>
            </w:r>
          </w:p>
        </w:tc>
        <w:tc>
          <w:tcPr>
            <w:tcW w:w="2920" w:type="dxa"/>
            <w:hideMark/>
          </w:tcPr>
          <w:p w14:paraId="3FAB81EC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Social media exposure to negative vaccine narratives significantly distorted risk-benefit perception.</w:t>
            </w:r>
          </w:p>
        </w:tc>
        <w:tc>
          <w:tcPr>
            <w:tcW w:w="2977" w:type="dxa"/>
            <w:hideMark/>
          </w:tcPr>
          <w:p w14:paraId="31A40A02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Vaccine hesitancy associated with increased social media consumption of negative vaccine content.</w:t>
            </w:r>
          </w:p>
        </w:tc>
        <w:tc>
          <w:tcPr>
            <w:tcW w:w="2693" w:type="dxa"/>
            <w:hideMark/>
          </w:tcPr>
          <w:p w14:paraId="7D20CF4E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Population-level digital health literacy deficits identified as key barrier to misinformation resilience.</w:t>
            </w:r>
          </w:p>
        </w:tc>
        <w:tc>
          <w:tcPr>
            <w:tcW w:w="1843" w:type="dxa"/>
            <w:hideMark/>
          </w:tcPr>
          <w:p w14:paraId="6EBDE8B5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Uncertainty and fear; community-level distrust of health authorities.</w:t>
            </w:r>
          </w:p>
        </w:tc>
        <w:tc>
          <w:tcPr>
            <w:tcW w:w="1273" w:type="dxa"/>
            <w:hideMark/>
          </w:tcPr>
          <w:p w14:paraId="06954DE3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Not assessed.</w:t>
            </w:r>
          </w:p>
        </w:tc>
        <w:tc>
          <w:tcPr>
            <w:tcW w:w="2409" w:type="dxa"/>
            <w:hideMark/>
          </w:tcPr>
          <w:p w14:paraId="28D9A0C2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Public health communication strategies targeting social media misinformation; health authority engagement in digital platforms.</w:t>
            </w:r>
          </w:p>
        </w:tc>
      </w:tr>
      <w:tr w:rsidR="006953AC" w:rsidRPr="00254C87" w14:paraId="06F2D7A4" w14:textId="77777777" w:rsidTr="006953AC">
        <w:trPr>
          <w:trHeight w:val="720"/>
        </w:trPr>
        <w:tc>
          <w:tcPr>
            <w:tcW w:w="2320" w:type="dxa"/>
            <w:hideMark/>
          </w:tcPr>
          <w:p w14:paraId="4DC80EB6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Buller et al., 2022</w:t>
            </w:r>
          </w:p>
        </w:tc>
        <w:tc>
          <w:tcPr>
            <w:tcW w:w="2920" w:type="dxa"/>
            <w:hideMark/>
          </w:tcPr>
          <w:p w14:paraId="272902C0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Source credibility influenced vaccine risk perception; government-sourced messages most effective against misinformation-driven hesitancy.</w:t>
            </w:r>
          </w:p>
        </w:tc>
        <w:tc>
          <w:tcPr>
            <w:tcW w:w="2977" w:type="dxa"/>
            <w:hideMark/>
          </w:tcPr>
          <w:p w14:paraId="6B5B4C53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Vaccine and social distancing behaviors influenced by message source; government sources most persuasive.</w:t>
            </w:r>
          </w:p>
        </w:tc>
        <w:tc>
          <w:tcPr>
            <w:tcW w:w="2693" w:type="dxa"/>
            <w:hideMark/>
          </w:tcPr>
          <w:p w14:paraId="288BFE6B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Message framing and source selection critical for effective social media health communication.</w:t>
            </w:r>
          </w:p>
        </w:tc>
        <w:tc>
          <w:tcPr>
            <w:tcW w:w="1843" w:type="dxa"/>
            <w:hideMark/>
          </w:tcPr>
          <w:p w14:paraId="1DAC28DD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Not specifically measured.</w:t>
            </w:r>
          </w:p>
        </w:tc>
        <w:tc>
          <w:tcPr>
            <w:tcW w:w="1273" w:type="dxa"/>
            <w:hideMark/>
          </w:tcPr>
          <w:p w14:paraId="70A85F87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Not assessed.</w:t>
            </w:r>
          </w:p>
        </w:tc>
        <w:tc>
          <w:tcPr>
            <w:tcW w:w="2409" w:type="dxa"/>
            <w:hideMark/>
          </w:tcPr>
          <w:p w14:paraId="0665B58F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Health communication and counter-messaging strategies targeting parents of adolescents via social media.</w:t>
            </w:r>
          </w:p>
        </w:tc>
      </w:tr>
      <w:tr w:rsidR="006953AC" w:rsidRPr="00254C87" w14:paraId="6EF39770" w14:textId="77777777" w:rsidTr="006953AC">
        <w:trPr>
          <w:trHeight w:val="720"/>
        </w:trPr>
        <w:tc>
          <w:tcPr>
            <w:tcW w:w="2320" w:type="dxa"/>
            <w:hideMark/>
          </w:tcPr>
          <w:p w14:paraId="2D4753E5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lastRenderedPageBreak/>
              <w:t>Dana et al., 2024</w:t>
            </w:r>
          </w:p>
        </w:tc>
        <w:tc>
          <w:tcPr>
            <w:tcW w:w="2920" w:type="dxa"/>
            <w:hideMark/>
          </w:tcPr>
          <w:p w14:paraId="1ABAB289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HIV/AIDS misinformation distorted risk perception and contributed to stigma toward PLWHA.</w:t>
            </w:r>
          </w:p>
        </w:tc>
        <w:tc>
          <w:tcPr>
            <w:tcW w:w="2977" w:type="dxa"/>
            <w:hideMark/>
          </w:tcPr>
          <w:p w14:paraId="075FDF8E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HIV/AIDS misinformation associated with discriminatory attitudes and social exclusion behaviors.</w:t>
            </w:r>
          </w:p>
        </w:tc>
        <w:tc>
          <w:tcPr>
            <w:tcW w:w="2693" w:type="dxa"/>
            <w:hideMark/>
          </w:tcPr>
          <w:p w14:paraId="040FFD64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Limited capacity to distinguish evidence-based from misleading HIV/AIDS information.</w:t>
            </w:r>
          </w:p>
        </w:tc>
        <w:tc>
          <w:tcPr>
            <w:tcW w:w="1843" w:type="dxa"/>
            <w:hideMark/>
          </w:tcPr>
          <w:p w14:paraId="74789EA5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Stigmatizing attitudes linked to social media misinformation; psychological impact on affected communities.</w:t>
            </w:r>
          </w:p>
        </w:tc>
        <w:tc>
          <w:tcPr>
            <w:tcW w:w="1273" w:type="dxa"/>
            <w:hideMark/>
          </w:tcPr>
          <w:p w14:paraId="526B1E6B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Not assessed.</w:t>
            </w:r>
          </w:p>
        </w:tc>
        <w:tc>
          <w:tcPr>
            <w:tcW w:w="2409" w:type="dxa"/>
            <w:hideMark/>
          </w:tcPr>
          <w:p w14:paraId="727AE016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HIV/AIDS health education interventions incorporating social media literacy components.</w:t>
            </w:r>
          </w:p>
        </w:tc>
      </w:tr>
      <w:tr w:rsidR="006953AC" w:rsidRPr="00254C87" w14:paraId="59EC82E2" w14:textId="77777777" w:rsidTr="006953AC">
        <w:trPr>
          <w:trHeight w:val="720"/>
        </w:trPr>
        <w:tc>
          <w:tcPr>
            <w:tcW w:w="2320" w:type="dxa"/>
            <w:hideMark/>
          </w:tcPr>
          <w:p w14:paraId="12058FD0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proofErr w:type="spellStart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Hasanatuludhhiyah</w:t>
            </w:r>
            <w:proofErr w:type="spellEnd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 xml:space="preserve"> et al., 2024</w:t>
            </w:r>
          </w:p>
        </w:tc>
        <w:tc>
          <w:tcPr>
            <w:tcW w:w="2920" w:type="dxa"/>
            <w:hideMark/>
          </w:tcPr>
          <w:p w14:paraId="6FA9940F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Lower DHL associated with greater susceptibility to COVID-19 misinformation and distorted health risk perception.</w:t>
            </w:r>
          </w:p>
        </w:tc>
        <w:tc>
          <w:tcPr>
            <w:tcW w:w="2977" w:type="dxa"/>
            <w:hideMark/>
          </w:tcPr>
          <w:p w14:paraId="57A202C0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Social media platform preference correlated with DHL levels and health information-seeking behaviors.</w:t>
            </w:r>
          </w:p>
        </w:tc>
        <w:tc>
          <w:tcPr>
            <w:tcW w:w="2693" w:type="dxa"/>
            <w:hideMark/>
          </w:tcPr>
          <w:p w14:paraId="7D5070F7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DHL was the central outcome; significant variability across sociodemographic groups; platform type influenced literacy.</w:t>
            </w:r>
          </w:p>
        </w:tc>
        <w:tc>
          <w:tcPr>
            <w:tcW w:w="1843" w:type="dxa"/>
            <w:hideMark/>
          </w:tcPr>
          <w:p w14:paraId="120A9F2E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Not specifically assessed.</w:t>
            </w:r>
          </w:p>
        </w:tc>
        <w:tc>
          <w:tcPr>
            <w:tcW w:w="1273" w:type="dxa"/>
            <w:hideMark/>
          </w:tcPr>
          <w:p w14:paraId="3C896D78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Not assessed.</w:t>
            </w:r>
          </w:p>
        </w:tc>
        <w:tc>
          <w:tcPr>
            <w:tcW w:w="2409" w:type="dxa"/>
            <w:hideMark/>
          </w:tcPr>
          <w:p w14:paraId="7F39728D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DHL-targeted educational interventions among Indonesian high school students.</w:t>
            </w:r>
          </w:p>
        </w:tc>
      </w:tr>
      <w:tr w:rsidR="006953AC" w:rsidRPr="00254C87" w14:paraId="7E51F8A5" w14:textId="77777777" w:rsidTr="006953AC">
        <w:trPr>
          <w:trHeight w:val="720"/>
        </w:trPr>
        <w:tc>
          <w:tcPr>
            <w:tcW w:w="2320" w:type="dxa"/>
            <w:hideMark/>
          </w:tcPr>
          <w:p w14:paraId="6165F516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Mou et al., 2026</w:t>
            </w:r>
          </w:p>
        </w:tc>
        <w:tc>
          <w:tcPr>
            <w:tcW w:w="2920" w:type="dxa"/>
            <w:hideMark/>
          </w:tcPr>
          <w:p w14:paraId="61DACF81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 xml:space="preserve">Higher misinformation knowledge </w:t>
            </w:r>
            <w:proofErr w:type="gramStart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associated</w:t>
            </w:r>
            <w:proofErr w:type="gramEnd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 xml:space="preserve"> with improved health risk perception and reduced false claim susceptibility.</w:t>
            </w:r>
          </w:p>
        </w:tc>
        <w:tc>
          <w:tcPr>
            <w:tcW w:w="2977" w:type="dxa"/>
            <w:hideMark/>
          </w:tcPr>
          <w:p w14:paraId="225765D3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Greater misinformation awareness linked to stronger intentions to verify health claims.</w:t>
            </w:r>
          </w:p>
        </w:tc>
        <w:tc>
          <w:tcPr>
            <w:tcW w:w="2693" w:type="dxa"/>
            <w:hideMark/>
          </w:tcPr>
          <w:p w14:paraId="0DEA20F4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Moderate-to-good medical misinformation knowledge; social media identified as primary but unreliable health source.</w:t>
            </w:r>
          </w:p>
        </w:tc>
        <w:tc>
          <w:tcPr>
            <w:tcW w:w="1843" w:type="dxa"/>
            <w:hideMark/>
          </w:tcPr>
          <w:p w14:paraId="69FEE730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Not specifically assessed.</w:t>
            </w:r>
          </w:p>
        </w:tc>
        <w:tc>
          <w:tcPr>
            <w:tcW w:w="1273" w:type="dxa"/>
            <w:hideMark/>
          </w:tcPr>
          <w:p w14:paraId="72F7FF44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Not assessed.</w:t>
            </w:r>
          </w:p>
        </w:tc>
        <w:tc>
          <w:tcPr>
            <w:tcW w:w="2409" w:type="dxa"/>
            <w:hideMark/>
          </w:tcPr>
          <w:p w14:paraId="2F08C3F2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Medical misinformation education integrated into high school curricula recommended.</w:t>
            </w:r>
          </w:p>
        </w:tc>
      </w:tr>
      <w:tr w:rsidR="006953AC" w:rsidRPr="00254C87" w14:paraId="117DCFB4" w14:textId="77777777" w:rsidTr="006953AC">
        <w:trPr>
          <w:trHeight w:val="960"/>
        </w:trPr>
        <w:tc>
          <w:tcPr>
            <w:tcW w:w="2320" w:type="dxa"/>
            <w:hideMark/>
          </w:tcPr>
          <w:p w14:paraId="29BCDB10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Oliveira &amp; Birdsall, 2025</w:t>
            </w:r>
          </w:p>
        </w:tc>
        <w:tc>
          <w:tcPr>
            <w:tcW w:w="2920" w:type="dxa"/>
            <w:hideMark/>
          </w:tcPr>
          <w:p w14:paraId="4796D5A8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Pre-intervention: distorted risk perception due to social media misinformation. Post-intervention: improved evidence-based risk assessment.</w:t>
            </w:r>
          </w:p>
        </w:tc>
        <w:tc>
          <w:tcPr>
            <w:tcW w:w="2977" w:type="dxa"/>
            <w:hideMark/>
          </w:tcPr>
          <w:p w14:paraId="008F5A3D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Vaccine hesitancy significantly reduced; increased vaccination intention following educational intervention.</w:t>
            </w:r>
          </w:p>
        </w:tc>
        <w:tc>
          <w:tcPr>
            <w:tcW w:w="2693" w:type="dxa"/>
            <w:hideMark/>
          </w:tcPr>
          <w:p w14:paraId="16857F39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Educational approach improved capacity to critically evaluate vaccine-related social media content.</w:t>
            </w:r>
          </w:p>
        </w:tc>
        <w:tc>
          <w:tcPr>
            <w:tcW w:w="1843" w:type="dxa"/>
            <w:hideMark/>
          </w:tcPr>
          <w:p w14:paraId="1A6E75DE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Reduced uncertainty and anxiety about vaccines following immunology education.</w:t>
            </w:r>
          </w:p>
        </w:tc>
        <w:tc>
          <w:tcPr>
            <w:tcW w:w="1273" w:type="dxa"/>
            <w:hideMark/>
          </w:tcPr>
          <w:p w14:paraId="1AAC818E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Not assessed.</w:t>
            </w:r>
          </w:p>
        </w:tc>
        <w:tc>
          <w:tcPr>
            <w:tcW w:w="2409" w:type="dxa"/>
            <w:hideMark/>
          </w:tcPr>
          <w:p w14:paraId="66F2F3BF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Longitudinal immunology education program effective against vaccine misinformation; community immunity emphasized as motivational factor.</w:t>
            </w:r>
          </w:p>
        </w:tc>
      </w:tr>
      <w:tr w:rsidR="006953AC" w:rsidRPr="00254C87" w14:paraId="5B439E45" w14:textId="77777777" w:rsidTr="006953AC">
        <w:trPr>
          <w:trHeight w:val="720"/>
        </w:trPr>
        <w:tc>
          <w:tcPr>
            <w:tcW w:w="2320" w:type="dxa"/>
            <w:hideMark/>
          </w:tcPr>
          <w:p w14:paraId="2295D800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proofErr w:type="spellStart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Paludneviciene</w:t>
            </w:r>
            <w:proofErr w:type="spellEnd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 xml:space="preserve"> et al., 2021</w:t>
            </w:r>
          </w:p>
        </w:tc>
        <w:tc>
          <w:tcPr>
            <w:tcW w:w="2920" w:type="dxa"/>
            <w:hideMark/>
          </w:tcPr>
          <w:p w14:paraId="4588C9A9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Information accessibility barriers led to significant misperceptions; distorted risk perception linked to limited access to accurate digital health content.</w:t>
            </w:r>
          </w:p>
        </w:tc>
        <w:tc>
          <w:tcPr>
            <w:tcW w:w="2977" w:type="dxa"/>
            <w:hideMark/>
          </w:tcPr>
          <w:p w14:paraId="2BAD25A6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Misinformed risk perceptions associated with suboptimal adherence to physical distancing guidelines.</w:t>
            </w:r>
          </w:p>
        </w:tc>
        <w:tc>
          <w:tcPr>
            <w:tcW w:w="2693" w:type="dxa"/>
            <w:hideMark/>
          </w:tcPr>
          <w:p w14:paraId="2C8A0F32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Digital health information accessibility as key determinant; language barriers exacerbated misinformation vulnerability.</w:t>
            </w:r>
          </w:p>
        </w:tc>
        <w:tc>
          <w:tcPr>
            <w:tcW w:w="1843" w:type="dxa"/>
            <w:hideMark/>
          </w:tcPr>
          <w:p w14:paraId="4775CC5A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Not specifically assessed.</w:t>
            </w:r>
          </w:p>
        </w:tc>
        <w:tc>
          <w:tcPr>
            <w:tcW w:w="1273" w:type="dxa"/>
            <w:hideMark/>
          </w:tcPr>
          <w:p w14:paraId="0D2D74B6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Not assessed.</w:t>
            </w:r>
          </w:p>
        </w:tc>
        <w:tc>
          <w:tcPr>
            <w:tcW w:w="2409" w:type="dxa"/>
            <w:hideMark/>
          </w:tcPr>
          <w:p w14:paraId="23E31FB1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Accessible and inclusive digital health communication; captioned and visually accessible social media content.</w:t>
            </w:r>
          </w:p>
        </w:tc>
      </w:tr>
      <w:tr w:rsidR="006953AC" w:rsidRPr="00254C87" w14:paraId="4CF960A7" w14:textId="77777777" w:rsidTr="006953AC">
        <w:trPr>
          <w:trHeight w:val="720"/>
        </w:trPr>
        <w:tc>
          <w:tcPr>
            <w:tcW w:w="2320" w:type="dxa"/>
            <w:hideMark/>
          </w:tcPr>
          <w:p w14:paraId="4C1B9628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proofErr w:type="spellStart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Pletta</w:t>
            </w:r>
            <w:proofErr w:type="spellEnd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 xml:space="preserve"> et al., 2022</w:t>
            </w:r>
          </w:p>
        </w:tc>
        <w:tc>
          <w:tcPr>
            <w:tcW w:w="2920" w:type="dxa"/>
            <w:hideMark/>
          </w:tcPr>
          <w:p w14:paraId="463F2E20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Heightened psychological risk perception; distorted self-perception linked to social media misinformation about gender identity.</w:t>
            </w:r>
          </w:p>
        </w:tc>
        <w:tc>
          <w:tcPr>
            <w:tcW w:w="2977" w:type="dxa"/>
            <w:hideMark/>
          </w:tcPr>
          <w:p w14:paraId="00D94C1C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Social withdrawal and increased protective family strategies in response to online stigmatizing content.</w:t>
            </w:r>
          </w:p>
        </w:tc>
        <w:tc>
          <w:tcPr>
            <w:tcW w:w="2693" w:type="dxa"/>
            <w:hideMark/>
          </w:tcPr>
          <w:p w14:paraId="2B49706A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Not primary focus; TNB adolescents navigated online spaces with limited protective strategies.</w:t>
            </w:r>
          </w:p>
        </w:tc>
        <w:tc>
          <w:tcPr>
            <w:tcW w:w="1843" w:type="dxa"/>
            <w:hideMark/>
          </w:tcPr>
          <w:p w14:paraId="3B6A6CB9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Pronounced impacts: anxiety, depression, identity distress, family stress linked to online stigmatizing misinformation. CENTRAL FINDING.</w:t>
            </w:r>
          </w:p>
        </w:tc>
        <w:tc>
          <w:tcPr>
            <w:tcW w:w="1273" w:type="dxa"/>
            <w:hideMark/>
          </w:tcPr>
          <w:p w14:paraId="7CD9CEDB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Not assessed.</w:t>
            </w:r>
          </w:p>
        </w:tc>
        <w:tc>
          <w:tcPr>
            <w:tcW w:w="2409" w:type="dxa"/>
            <w:hideMark/>
          </w:tcPr>
          <w:p w14:paraId="4AE1A164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Clinical support, affirming environments, and policy advocacy to protect TNB adolescents from online misinformation.</w:t>
            </w:r>
          </w:p>
        </w:tc>
      </w:tr>
      <w:tr w:rsidR="006953AC" w:rsidRPr="00254C87" w14:paraId="01B2BCB4" w14:textId="77777777" w:rsidTr="006953AC">
        <w:trPr>
          <w:trHeight w:val="960"/>
        </w:trPr>
        <w:tc>
          <w:tcPr>
            <w:tcW w:w="2320" w:type="dxa"/>
            <w:hideMark/>
          </w:tcPr>
          <w:p w14:paraId="15FDD304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Perez-Escoda et al., 2025</w:t>
            </w:r>
          </w:p>
        </w:tc>
        <w:tc>
          <w:tcPr>
            <w:tcW w:w="2920" w:type="dxa"/>
            <w:hideMark/>
          </w:tcPr>
          <w:p w14:paraId="021ED7F1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Heterogeneous disinformation awareness; variability in risk recognition across European countries.</w:t>
            </w:r>
          </w:p>
        </w:tc>
        <w:tc>
          <w:tcPr>
            <w:tcW w:w="2977" w:type="dxa"/>
            <w:hideMark/>
          </w:tcPr>
          <w:p w14:paraId="744EF038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Mostly passive digital consumption; limited active fact-checking practices.</w:t>
            </w:r>
          </w:p>
        </w:tc>
        <w:tc>
          <w:tcPr>
            <w:tcW w:w="2693" w:type="dxa"/>
            <w:hideMark/>
          </w:tcPr>
          <w:p w14:paraId="136292FA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Core outcome: critical information evaluation skills and responsible digital practices for sustainable education.</w:t>
            </w:r>
          </w:p>
        </w:tc>
        <w:tc>
          <w:tcPr>
            <w:tcW w:w="1843" w:type="dxa"/>
            <w:hideMark/>
          </w:tcPr>
          <w:p w14:paraId="47AD4A53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Not specifically assessed.</w:t>
            </w:r>
          </w:p>
        </w:tc>
        <w:tc>
          <w:tcPr>
            <w:tcW w:w="1273" w:type="dxa"/>
            <w:hideMark/>
          </w:tcPr>
          <w:p w14:paraId="5E093342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Emerging digital risks mentioned in educational context.</w:t>
            </w:r>
          </w:p>
        </w:tc>
        <w:tc>
          <w:tcPr>
            <w:tcW w:w="2409" w:type="dxa"/>
            <w:hideMark/>
          </w:tcPr>
          <w:p w14:paraId="22005467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Sustainable education framework promoting critical thinking and disinformation awareness; European-level policy implications for digital media literacy curricula.</w:t>
            </w:r>
          </w:p>
        </w:tc>
      </w:tr>
      <w:tr w:rsidR="006953AC" w:rsidRPr="00254C87" w14:paraId="4D657FC6" w14:textId="77777777" w:rsidTr="006953AC">
        <w:trPr>
          <w:trHeight w:val="720"/>
        </w:trPr>
        <w:tc>
          <w:tcPr>
            <w:tcW w:w="2320" w:type="dxa"/>
            <w:hideMark/>
          </w:tcPr>
          <w:p w14:paraId="40FDEB3B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lastRenderedPageBreak/>
              <w:t>Radwan et al., 2020</w:t>
            </w:r>
          </w:p>
        </w:tc>
        <w:tc>
          <w:tcPr>
            <w:tcW w:w="2920" w:type="dxa"/>
            <w:hideMark/>
          </w:tcPr>
          <w:p w14:paraId="7B8BA814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Misinformation significantly distorted COVID-19 risk perception, amplifying panic and fear disproportionately.</w:t>
            </w:r>
          </w:p>
        </w:tc>
        <w:tc>
          <w:tcPr>
            <w:tcW w:w="2977" w:type="dxa"/>
            <w:hideMark/>
          </w:tcPr>
          <w:p w14:paraId="37BBFB55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Misinformation-induced panic led to avoidance behaviors and non-evidence-based protective responses.</w:t>
            </w:r>
          </w:p>
        </w:tc>
        <w:tc>
          <w:tcPr>
            <w:tcW w:w="2693" w:type="dxa"/>
            <w:hideMark/>
          </w:tcPr>
          <w:p w14:paraId="41A5AD4B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No systematic critical evaluation behaviors; students lacked misinformation evaluation tools.</w:t>
            </w:r>
          </w:p>
        </w:tc>
        <w:tc>
          <w:tcPr>
            <w:tcW w:w="1843" w:type="dxa"/>
            <w:hideMark/>
          </w:tcPr>
          <w:p w14:paraId="0BF5DFAE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Significant impact: elevated panic, anxiety, and psychological distress directly linked to social media misinformation. CENTRAL FINDING.</w:t>
            </w:r>
          </w:p>
        </w:tc>
        <w:tc>
          <w:tcPr>
            <w:tcW w:w="1273" w:type="dxa"/>
            <w:hideMark/>
          </w:tcPr>
          <w:p w14:paraId="7292C9FC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Not assessed.</w:t>
            </w:r>
          </w:p>
        </w:tc>
        <w:tc>
          <w:tcPr>
            <w:tcW w:w="2409" w:type="dxa"/>
            <w:hideMark/>
          </w:tcPr>
          <w:p w14:paraId="045BB619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Crisis health communication strategies and media literacy education in conflict-affected contexts.</w:t>
            </w:r>
          </w:p>
        </w:tc>
      </w:tr>
      <w:tr w:rsidR="006953AC" w:rsidRPr="00254C87" w14:paraId="5E9CE802" w14:textId="77777777" w:rsidTr="006953AC">
        <w:trPr>
          <w:trHeight w:val="960"/>
        </w:trPr>
        <w:tc>
          <w:tcPr>
            <w:tcW w:w="2320" w:type="dxa"/>
            <w:hideMark/>
          </w:tcPr>
          <w:p w14:paraId="49E3AC97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Rojas-Bahamon et al., 2024</w:t>
            </w:r>
          </w:p>
        </w:tc>
        <w:tc>
          <w:tcPr>
            <w:tcW w:w="2920" w:type="dxa"/>
            <w:hideMark/>
          </w:tcPr>
          <w:p w14:paraId="292F98FA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Digital misinformation perceived as complicating reality assessment and identity-related decision-making.</w:t>
            </w:r>
          </w:p>
        </w:tc>
        <w:tc>
          <w:tcPr>
            <w:tcW w:w="2977" w:type="dxa"/>
            <w:hideMark/>
          </w:tcPr>
          <w:p w14:paraId="220C69CB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Passive digital engagement; susceptibility to misleading content.</w:t>
            </w:r>
          </w:p>
        </w:tc>
        <w:tc>
          <w:tcPr>
            <w:tcW w:w="2693" w:type="dxa"/>
            <w:hideMark/>
          </w:tcPr>
          <w:p w14:paraId="51434259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Limited media literacy skills; absence of structured critical evaluation education.</w:t>
            </w:r>
          </w:p>
        </w:tc>
        <w:tc>
          <w:tcPr>
            <w:tcW w:w="1843" w:type="dxa"/>
            <w:hideMark/>
          </w:tcPr>
          <w:p w14:paraId="1C55339D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 xml:space="preserve">Mental health and identity formation </w:t>
            </w:r>
            <w:proofErr w:type="gramStart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primary</w:t>
            </w:r>
            <w:proofErr w:type="gramEnd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 xml:space="preserve"> outcomes; misinformation exposure linked to identity confusion and psychological vulnerability. CENTRAL FINDING.</w:t>
            </w:r>
          </w:p>
        </w:tc>
        <w:tc>
          <w:tcPr>
            <w:tcW w:w="1273" w:type="dxa"/>
            <w:hideMark/>
          </w:tcPr>
          <w:p w14:paraId="0BA9DB5D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Not assessed.</w:t>
            </w:r>
          </w:p>
        </w:tc>
        <w:tc>
          <w:tcPr>
            <w:tcW w:w="2409" w:type="dxa"/>
            <w:hideMark/>
          </w:tcPr>
          <w:p w14:paraId="0E5143A6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Media literacy integration into Colombian secondary curricula recommended.</w:t>
            </w:r>
          </w:p>
        </w:tc>
      </w:tr>
      <w:tr w:rsidR="006953AC" w:rsidRPr="00254C87" w14:paraId="11FA0A9E" w14:textId="77777777" w:rsidTr="006953AC">
        <w:trPr>
          <w:trHeight w:val="720"/>
        </w:trPr>
        <w:tc>
          <w:tcPr>
            <w:tcW w:w="2320" w:type="dxa"/>
            <w:hideMark/>
          </w:tcPr>
          <w:p w14:paraId="447D711D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Sciarretta et al., 2024</w:t>
            </w:r>
          </w:p>
        </w:tc>
        <w:tc>
          <w:tcPr>
            <w:tcW w:w="2920" w:type="dxa"/>
            <w:hideMark/>
          </w:tcPr>
          <w:p w14:paraId="2F7A7A01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Pseudoscientific beliefs associated with vaccine avoidance and climate change denial.</w:t>
            </w:r>
          </w:p>
        </w:tc>
        <w:tc>
          <w:tcPr>
            <w:tcW w:w="2977" w:type="dxa"/>
            <w:hideMark/>
          </w:tcPr>
          <w:p w14:paraId="08A75354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Belief endorsement associated with vaccine avoidance and dismissal of scientific consensus.</w:t>
            </w:r>
          </w:p>
        </w:tc>
        <w:tc>
          <w:tcPr>
            <w:tcW w:w="2693" w:type="dxa"/>
            <w:hideMark/>
          </w:tcPr>
          <w:p w14:paraId="163484A0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Educational system limited in equipping students with science misinformation resilience.</w:t>
            </w:r>
          </w:p>
        </w:tc>
        <w:tc>
          <w:tcPr>
            <w:tcW w:w="1843" w:type="dxa"/>
            <w:hideMark/>
          </w:tcPr>
          <w:p w14:paraId="77D0B00F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Science distrust and conspiracy thinking as psychological dimensions; institutional trust diminished.</w:t>
            </w:r>
          </w:p>
        </w:tc>
        <w:tc>
          <w:tcPr>
            <w:tcW w:w="1273" w:type="dxa"/>
            <w:hideMark/>
          </w:tcPr>
          <w:p w14:paraId="1BFF29A9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Not assessed.</w:t>
            </w:r>
          </w:p>
        </w:tc>
        <w:tc>
          <w:tcPr>
            <w:tcW w:w="2409" w:type="dxa"/>
            <w:hideMark/>
          </w:tcPr>
          <w:p w14:paraId="26EDF5C3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Science education reform; explicit pseudoscience and conspiracy literacy modules in high school physics education.</w:t>
            </w:r>
          </w:p>
        </w:tc>
      </w:tr>
      <w:tr w:rsidR="006953AC" w:rsidRPr="00254C87" w14:paraId="56FF9B1C" w14:textId="77777777" w:rsidTr="006953AC">
        <w:trPr>
          <w:trHeight w:val="960"/>
        </w:trPr>
        <w:tc>
          <w:tcPr>
            <w:tcW w:w="2320" w:type="dxa"/>
            <w:hideMark/>
          </w:tcPr>
          <w:p w14:paraId="4075FB88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Seo et al., 2025</w:t>
            </w:r>
          </w:p>
        </w:tc>
        <w:tc>
          <w:tcPr>
            <w:tcW w:w="2920" w:type="dxa"/>
            <w:hideMark/>
          </w:tcPr>
          <w:p w14:paraId="60C7A576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Engagement-driven content curation distorted health risk perception; social metrics substituted for evidence-based health assessment.</w:t>
            </w:r>
          </w:p>
        </w:tc>
        <w:tc>
          <w:tcPr>
            <w:tcW w:w="2977" w:type="dxa"/>
            <w:hideMark/>
          </w:tcPr>
          <w:p w14:paraId="6623961A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Information-seeking shaped by platform algorithms; passive consumption of algorithmically recommended health content.</w:t>
            </w:r>
          </w:p>
        </w:tc>
        <w:tc>
          <w:tcPr>
            <w:tcW w:w="2693" w:type="dxa"/>
            <w:hideMark/>
          </w:tcPr>
          <w:p w14:paraId="7E425568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Critical evaluation skills underdeveloped; 'likes' used as primary credibility indicator.</w:t>
            </w:r>
          </w:p>
        </w:tc>
        <w:tc>
          <w:tcPr>
            <w:tcW w:w="1843" w:type="dxa"/>
            <w:hideMark/>
          </w:tcPr>
          <w:p w14:paraId="51D3818C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 xml:space="preserve">Psychological distress </w:t>
            </w:r>
            <w:proofErr w:type="gramStart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associated</w:t>
            </w:r>
            <w:proofErr w:type="gramEnd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 xml:space="preserve"> with algorithmically amplified body image and mental health misinformation.</w:t>
            </w:r>
          </w:p>
        </w:tc>
        <w:tc>
          <w:tcPr>
            <w:tcW w:w="1273" w:type="dxa"/>
            <w:hideMark/>
          </w:tcPr>
          <w:p w14:paraId="3A1DC0FC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Algorithmic amplification as primary mechanism of misinformation exposure; engagement-driven curation as structural risk factor. CENTRAL FINDING.</w:t>
            </w:r>
          </w:p>
        </w:tc>
        <w:tc>
          <w:tcPr>
            <w:tcW w:w="2409" w:type="dxa"/>
            <w:hideMark/>
          </w:tcPr>
          <w:p w14:paraId="22815752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Algorithm-aware health literacy education; media literacy addressing social media content curation mechanisms.</w:t>
            </w:r>
          </w:p>
        </w:tc>
      </w:tr>
      <w:tr w:rsidR="006953AC" w:rsidRPr="00254C87" w14:paraId="1FE067F2" w14:textId="77777777" w:rsidTr="006953AC">
        <w:trPr>
          <w:trHeight w:val="960"/>
        </w:trPr>
        <w:tc>
          <w:tcPr>
            <w:tcW w:w="2320" w:type="dxa"/>
            <w:hideMark/>
          </w:tcPr>
          <w:p w14:paraId="26EE7576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proofErr w:type="spellStart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Sestini</w:t>
            </w:r>
            <w:proofErr w:type="spellEnd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 xml:space="preserve"> et al., 2025</w:t>
            </w:r>
          </w:p>
        </w:tc>
        <w:tc>
          <w:tcPr>
            <w:tcW w:w="2920" w:type="dxa"/>
            <w:hideMark/>
          </w:tcPr>
          <w:p w14:paraId="65803CA2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 xml:space="preserve">Misinformation experimentally demonstrated to reduce health and science institutional trust, with </w:t>
            </w: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lastRenderedPageBreak/>
              <w:t>downstream implications for health decision-making.</w:t>
            </w:r>
          </w:p>
        </w:tc>
        <w:tc>
          <w:tcPr>
            <w:tcW w:w="2977" w:type="dxa"/>
            <w:hideMark/>
          </w:tcPr>
          <w:p w14:paraId="03A2F23D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lastRenderedPageBreak/>
              <w:t>Reduced institutional trust associated with greater susceptibility to non-evidence-based health information.</w:t>
            </w:r>
          </w:p>
        </w:tc>
        <w:tc>
          <w:tcPr>
            <w:tcW w:w="2693" w:type="dxa"/>
            <w:hideMark/>
          </w:tcPr>
          <w:p w14:paraId="1D33CA68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Information context demonstrated impact on adolescent epistemic trust formation.</w:t>
            </w:r>
          </w:p>
        </w:tc>
        <w:tc>
          <w:tcPr>
            <w:tcW w:w="1843" w:type="dxa"/>
            <w:hideMark/>
          </w:tcPr>
          <w:p w14:paraId="66E8ACC1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 xml:space="preserve">Institutional distrust as psychosocial consequence of misinformation; </w:t>
            </w: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lastRenderedPageBreak/>
              <w:t>implications for civic and health engagement.</w:t>
            </w:r>
          </w:p>
        </w:tc>
        <w:tc>
          <w:tcPr>
            <w:tcW w:w="1273" w:type="dxa"/>
            <w:hideMark/>
          </w:tcPr>
          <w:p w14:paraId="07385211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lastRenderedPageBreak/>
              <w:t>Not assessed.</w:t>
            </w:r>
          </w:p>
        </w:tc>
        <w:tc>
          <w:tcPr>
            <w:tcW w:w="2409" w:type="dxa"/>
            <w:hideMark/>
          </w:tcPr>
          <w:p w14:paraId="16B10383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Institutional trust-building interventions; health/science communication strategies for adolescents.</w:t>
            </w:r>
          </w:p>
        </w:tc>
      </w:tr>
      <w:tr w:rsidR="006953AC" w:rsidRPr="00254C87" w14:paraId="488A71E0" w14:textId="77777777" w:rsidTr="006953AC">
        <w:trPr>
          <w:trHeight w:val="960"/>
        </w:trPr>
        <w:tc>
          <w:tcPr>
            <w:tcW w:w="2320" w:type="dxa"/>
            <w:hideMark/>
          </w:tcPr>
          <w:p w14:paraId="7F0080F5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proofErr w:type="spellStart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Sialubanje</w:t>
            </w:r>
            <w:proofErr w:type="spellEnd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 xml:space="preserve"> et al., 2022</w:t>
            </w:r>
          </w:p>
        </w:tc>
        <w:tc>
          <w:tcPr>
            <w:tcW w:w="2920" w:type="dxa"/>
            <w:hideMark/>
          </w:tcPr>
          <w:p w14:paraId="729A64ED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Social media vaccine misinformation significantly distorted community risk-benefit perception; younger members most susceptible.</w:t>
            </w:r>
          </w:p>
        </w:tc>
        <w:tc>
          <w:tcPr>
            <w:tcW w:w="2977" w:type="dxa"/>
            <w:hideMark/>
          </w:tcPr>
          <w:p w14:paraId="281EDA06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Vaccine hesitancy and refusal directly associated with social media misinformation; WhatsApp-based misinformation as primary behavioral driver.</w:t>
            </w:r>
          </w:p>
        </w:tc>
        <w:tc>
          <w:tcPr>
            <w:tcW w:w="2693" w:type="dxa"/>
            <w:hideMark/>
          </w:tcPr>
          <w:p w14:paraId="429EF0D2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Communities demonstrated limited capacity to evaluate vaccine information; health workers as trusted information mediators.</w:t>
            </w:r>
          </w:p>
        </w:tc>
        <w:tc>
          <w:tcPr>
            <w:tcW w:w="1843" w:type="dxa"/>
            <w:hideMark/>
          </w:tcPr>
          <w:p w14:paraId="66897D8E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Community-level uncertainty and fear; trust dynamics between communities and health authorities.</w:t>
            </w:r>
          </w:p>
        </w:tc>
        <w:tc>
          <w:tcPr>
            <w:tcW w:w="1273" w:type="dxa"/>
            <w:hideMark/>
          </w:tcPr>
          <w:p w14:paraId="43A2A58D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Not assessed.</w:t>
            </w:r>
          </w:p>
        </w:tc>
        <w:tc>
          <w:tcPr>
            <w:tcW w:w="2409" w:type="dxa"/>
            <w:hideMark/>
          </w:tcPr>
          <w:p w14:paraId="51B5DA74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Community health worker-led vaccine communication countering social media misinformation; WhatsApp-based health messaging interventions.</w:t>
            </w:r>
          </w:p>
        </w:tc>
      </w:tr>
      <w:tr w:rsidR="006953AC" w:rsidRPr="00254C87" w14:paraId="0C9583F9" w14:textId="77777777" w:rsidTr="006953AC">
        <w:trPr>
          <w:trHeight w:val="720"/>
        </w:trPr>
        <w:tc>
          <w:tcPr>
            <w:tcW w:w="2320" w:type="dxa"/>
            <w:hideMark/>
          </w:tcPr>
          <w:p w14:paraId="023F8122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Siani et al., 2024</w:t>
            </w:r>
          </w:p>
        </w:tc>
        <w:tc>
          <w:tcPr>
            <w:tcW w:w="2920" w:type="dxa"/>
            <w:hideMark/>
          </w:tcPr>
          <w:p w14:paraId="7C2EC40C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Significant misinformation susceptibility; limited source reliability assessment contributed to distorted health risk perception.</w:t>
            </w:r>
          </w:p>
        </w:tc>
        <w:tc>
          <w:tcPr>
            <w:tcW w:w="2977" w:type="dxa"/>
            <w:hideMark/>
          </w:tcPr>
          <w:p w14:paraId="2923EBCF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 xml:space="preserve">Susceptibility to misinformation </w:t>
            </w:r>
            <w:proofErr w:type="gramStart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associated</w:t>
            </w:r>
            <w:proofErr w:type="gramEnd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 xml:space="preserve"> with potential health behavior misalignment with scientific evidence.</w:t>
            </w:r>
          </w:p>
        </w:tc>
        <w:tc>
          <w:tcPr>
            <w:tcW w:w="2693" w:type="dxa"/>
            <w:hideMark/>
          </w:tcPr>
          <w:p w14:paraId="621A29F5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News source reliability assessment primary outcome; significant deficits in critical evaluation of online scientific information.</w:t>
            </w:r>
          </w:p>
        </w:tc>
        <w:tc>
          <w:tcPr>
            <w:tcW w:w="1843" w:type="dxa"/>
            <w:hideMark/>
          </w:tcPr>
          <w:p w14:paraId="20C879F7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Not specifically assessed.</w:t>
            </w:r>
          </w:p>
        </w:tc>
        <w:tc>
          <w:tcPr>
            <w:tcW w:w="1273" w:type="dxa"/>
            <w:hideMark/>
          </w:tcPr>
          <w:p w14:paraId="45FBCA07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 xml:space="preserve">Bots and automated misinformation dissemination </w:t>
            </w:r>
            <w:proofErr w:type="gramStart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identified</w:t>
            </w:r>
            <w:proofErr w:type="gramEnd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 xml:space="preserve"> as amplifying </w:t>
            </w:r>
            <w:proofErr w:type="gramStart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factor</w:t>
            </w:r>
            <w:proofErr w:type="gramEnd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 xml:space="preserve"> for science misinformation.</w:t>
            </w:r>
          </w:p>
        </w:tc>
        <w:tc>
          <w:tcPr>
            <w:tcW w:w="2409" w:type="dxa"/>
            <w:hideMark/>
          </w:tcPr>
          <w:p w14:paraId="67824B74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Critical media literacy curricula in UK secondary schools; explicit science misinformation education needed.</w:t>
            </w:r>
          </w:p>
        </w:tc>
      </w:tr>
      <w:tr w:rsidR="006953AC" w:rsidRPr="00254C87" w14:paraId="4B314249" w14:textId="77777777" w:rsidTr="006953AC">
        <w:trPr>
          <w:trHeight w:val="720"/>
        </w:trPr>
        <w:tc>
          <w:tcPr>
            <w:tcW w:w="2320" w:type="dxa"/>
            <w:hideMark/>
          </w:tcPr>
          <w:p w14:paraId="5EF4B156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Siani &amp; Gennari, 2025</w:t>
            </w:r>
          </w:p>
        </w:tc>
        <w:tc>
          <w:tcPr>
            <w:tcW w:w="2920" w:type="dxa"/>
            <w:hideMark/>
          </w:tcPr>
          <w:p w14:paraId="09D352D7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Significant susceptibility to scientific misinformation; potential for distorted health and science risk perception.</w:t>
            </w:r>
          </w:p>
        </w:tc>
        <w:tc>
          <w:tcPr>
            <w:tcW w:w="2977" w:type="dxa"/>
            <w:hideMark/>
          </w:tcPr>
          <w:p w14:paraId="0B1DA6E6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Predominantly online social media information consumption; limited verification behaviors.</w:t>
            </w:r>
          </w:p>
        </w:tc>
        <w:tc>
          <w:tcPr>
            <w:tcW w:w="2693" w:type="dxa"/>
            <w:hideMark/>
          </w:tcPr>
          <w:p w14:paraId="0B988027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Scientific information evaluation skills underdeveloped; news source reliability poorly calibrated.</w:t>
            </w:r>
          </w:p>
        </w:tc>
        <w:tc>
          <w:tcPr>
            <w:tcW w:w="1843" w:type="dxa"/>
            <w:hideMark/>
          </w:tcPr>
          <w:p w14:paraId="74790D4A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Not specifically assessed.</w:t>
            </w:r>
          </w:p>
        </w:tc>
        <w:tc>
          <w:tcPr>
            <w:tcW w:w="1273" w:type="dxa"/>
            <w:hideMark/>
          </w:tcPr>
          <w:p w14:paraId="62FFC7C4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 xml:space="preserve">Social media algorithms </w:t>
            </w:r>
            <w:proofErr w:type="gramStart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mentioned as</w:t>
            </w:r>
            <w:proofErr w:type="gramEnd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 xml:space="preserve"> contributing to misinformation spread.</w:t>
            </w:r>
          </w:p>
        </w:tc>
        <w:tc>
          <w:tcPr>
            <w:tcW w:w="2409" w:type="dxa"/>
            <w:hideMark/>
          </w:tcPr>
          <w:p w14:paraId="099F9C06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Science education reform in Italy; explicit scientific information literacy instruction recommended.</w:t>
            </w:r>
          </w:p>
        </w:tc>
      </w:tr>
      <w:tr w:rsidR="006953AC" w:rsidRPr="00254C87" w14:paraId="6A9BFF80" w14:textId="77777777" w:rsidTr="006953AC">
        <w:trPr>
          <w:trHeight w:val="720"/>
        </w:trPr>
        <w:tc>
          <w:tcPr>
            <w:tcW w:w="2320" w:type="dxa"/>
            <w:hideMark/>
          </w:tcPr>
          <w:p w14:paraId="3BC8B586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Suttor et al., 2023</w:t>
            </w:r>
          </w:p>
        </w:tc>
        <w:tc>
          <w:tcPr>
            <w:tcW w:w="2920" w:type="dxa"/>
            <w:hideMark/>
          </w:tcPr>
          <w:p w14:paraId="019CBEC3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Menstrual health misinformation distorted understanding of normal menstruation and associated health risks.</w:t>
            </w:r>
          </w:p>
        </w:tc>
        <w:tc>
          <w:tcPr>
            <w:tcW w:w="2977" w:type="dxa"/>
            <w:hideMark/>
          </w:tcPr>
          <w:p w14:paraId="754EE93F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Information-seeking via social media driven by cultural taboos; misinformation influenced health management practices.</w:t>
            </w:r>
          </w:p>
        </w:tc>
        <w:tc>
          <w:tcPr>
            <w:tcW w:w="2693" w:type="dxa"/>
            <w:hideMark/>
          </w:tcPr>
          <w:p w14:paraId="6F570EBF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Limited critical evaluation of online health information; peer sharing reinforced misinformation.</w:t>
            </w:r>
          </w:p>
        </w:tc>
        <w:tc>
          <w:tcPr>
            <w:tcW w:w="1843" w:type="dxa"/>
            <w:hideMark/>
          </w:tcPr>
          <w:p w14:paraId="79DD9A50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Shame, taboo, and inadequate health information associated with psychological distress around menstruation.</w:t>
            </w:r>
          </w:p>
        </w:tc>
        <w:tc>
          <w:tcPr>
            <w:tcW w:w="1273" w:type="dxa"/>
            <w:hideMark/>
          </w:tcPr>
          <w:p w14:paraId="4575E2AD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Not assessed.</w:t>
            </w:r>
          </w:p>
        </w:tc>
        <w:tc>
          <w:tcPr>
            <w:tcW w:w="2409" w:type="dxa"/>
            <w:hideMark/>
          </w:tcPr>
          <w:p w14:paraId="5685EB2D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Comprehensive menstrual health education integrated with digital literacy; school-based and community programs.</w:t>
            </w:r>
          </w:p>
        </w:tc>
      </w:tr>
      <w:tr w:rsidR="006953AC" w:rsidRPr="00254C87" w14:paraId="16682FE3" w14:textId="77777777" w:rsidTr="006953AC">
        <w:trPr>
          <w:trHeight w:val="720"/>
        </w:trPr>
        <w:tc>
          <w:tcPr>
            <w:tcW w:w="2320" w:type="dxa"/>
            <w:hideMark/>
          </w:tcPr>
          <w:p w14:paraId="7DA5CFC0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Takahashi et al., 2025</w:t>
            </w:r>
          </w:p>
        </w:tc>
        <w:tc>
          <w:tcPr>
            <w:tcW w:w="2920" w:type="dxa"/>
            <w:hideMark/>
          </w:tcPr>
          <w:p w14:paraId="2EFD560C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HPV vaccine misinformation distorted risk-benefit assessment; evidence-based information improved risk perception.</w:t>
            </w:r>
          </w:p>
        </w:tc>
        <w:tc>
          <w:tcPr>
            <w:tcW w:w="2977" w:type="dxa"/>
            <w:hideMark/>
          </w:tcPr>
          <w:p w14:paraId="47DACED8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HPV vaccination intentions influenced by information awareness; maternal information-sharing mediated adolescent decisions.</w:t>
            </w:r>
          </w:p>
        </w:tc>
        <w:tc>
          <w:tcPr>
            <w:tcW w:w="2693" w:type="dxa"/>
            <w:hideMark/>
          </w:tcPr>
          <w:p w14:paraId="303E0F0F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Information presentation format impacted health decision-making; media literacy around vaccine information identified as critical.</w:t>
            </w:r>
          </w:p>
        </w:tc>
        <w:tc>
          <w:tcPr>
            <w:tcW w:w="1843" w:type="dxa"/>
            <w:hideMark/>
          </w:tcPr>
          <w:p w14:paraId="57D47D14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Not specifically assessed.</w:t>
            </w:r>
          </w:p>
        </w:tc>
        <w:tc>
          <w:tcPr>
            <w:tcW w:w="1273" w:type="dxa"/>
            <w:hideMark/>
          </w:tcPr>
          <w:p w14:paraId="0DCF3ED0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 xml:space="preserve">Social media misinformation amplification of vaccine concerns contributing to Japan's low </w:t>
            </w: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lastRenderedPageBreak/>
              <w:t>HPV vaccination rates.</w:t>
            </w:r>
          </w:p>
        </w:tc>
        <w:tc>
          <w:tcPr>
            <w:tcW w:w="2409" w:type="dxa"/>
            <w:hideMark/>
          </w:tcPr>
          <w:p w14:paraId="62A95D2B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lastRenderedPageBreak/>
              <w:t>Evidence-based information presentation for improving HPV vaccination attitudes; maternal education included.</w:t>
            </w:r>
          </w:p>
        </w:tc>
      </w:tr>
      <w:tr w:rsidR="006953AC" w:rsidRPr="00254C87" w14:paraId="2DF9A800" w14:textId="77777777" w:rsidTr="006953AC">
        <w:trPr>
          <w:trHeight w:val="720"/>
        </w:trPr>
        <w:tc>
          <w:tcPr>
            <w:tcW w:w="2320" w:type="dxa"/>
            <w:hideMark/>
          </w:tcPr>
          <w:p w14:paraId="3601D535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Taylor-Abdulai et al., 2025</w:t>
            </w:r>
          </w:p>
        </w:tc>
        <w:tc>
          <w:tcPr>
            <w:tcW w:w="2920" w:type="dxa"/>
            <w:hideMark/>
          </w:tcPr>
          <w:p w14:paraId="328E7C1E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Social media misinformation significantly distorted vaccine risk-benefit perception; hesitancy linked to misinformation-driven safety concerns.</w:t>
            </w:r>
          </w:p>
        </w:tc>
        <w:tc>
          <w:tcPr>
            <w:tcW w:w="2977" w:type="dxa"/>
            <w:hideMark/>
          </w:tcPr>
          <w:p w14:paraId="1F3C663D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Vaccine hesitancy and refusal associated with social media misinformation; complex context-specific hesitancy determinants.</w:t>
            </w:r>
          </w:p>
        </w:tc>
        <w:tc>
          <w:tcPr>
            <w:tcW w:w="2693" w:type="dxa"/>
            <w:hideMark/>
          </w:tcPr>
          <w:p w14:paraId="6B2AF5BE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Not specifically assessed.</w:t>
            </w:r>
          </w:p>
        </w:tc>
        <w:tc>
          <w:tcPr>
            <w:tcW w:w="1843" w:type="dxa"/>
            <w:hideMark/>
          </w:tcPr>
          <w:p w14:paraId="6A227414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Distrust and fear associated with vaccine misinformation; psychological barriers to vaccination.</w:t>
            </w:r>
          </w:p>
        </w:tc>
        <w:tc>
          <w:tcPr>
            <w:tcW w:w="1273" w:type="dxa"/>
            <w:hideMark/>
          </w:tcPr>
          <w:p w14:paraId="46CC1F6C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Not assessed.</w:t>
            </w:r>
          </w:p>
        </w:tc>
        <w:tc>
          <w:tcPr>
            <w:tcW w:w="2409" w:type="dxa"/>
            <w:hideMark/>
          </w:tcPr>
          <w:p w14:paraId="1FDE4B40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Culturally appropriate vaccine communication addressing social media misinformation in Ghanaian urban contexts.</w:t>
            </w:r>
          </w:p>
        </w:tc>
      </w:tr>
      <w:tr w:rsidR="006953AC" w:rsidRPr="00254C87" w14:paraId="0219B491" w14:textId="77777777" w:rsidTr="006953AC">
        <w:trPr>
          <w:trHeight w:val="720"/>
        </w:trPr>
        <w:tc>
          <w:tcPr>
            <w:tcW w:w="2320" w:type="dxa"/>
            <w:hideMark/>
          </w:tcPr>
          <w:p w14:paraId="5DAEC1FE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proofErr w:type="spellStart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Umerani</w:t>
            </w:r>
            <w:proofErr w:type="spellEnd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 xml:space="preserve"> et al., 2024</w:t>
            </w:r>
          </w:p>
        </w:tc>
        <w:tc>
          <w:tcPr>
            <w:tcW w:w="2920" w:type="dxa"/>
            <w:hideMark/>
          </w:tcPr>
          <w:p w14:paraId="2062CE27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Social media mental health misinformation associated with distorted understanding; risk of self-diagnosis from unreliable content.</w:t>
            </w:r>
          </w:p>
        </w:tc>
        <w:tc>
          <w:tcPr>
            <w:tcW w:w="2977" w:type="dxa"/>
            <w:hideMark/>
          </w:tcPr>
          <w:p w14:paraId="098B76A1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Pre-intervention: passive social media mental health content consumption. Post-intervention: improved misinformation identification.</w:t>
            </w:r>
          </w:p>
        </w:tc>
        <w:tc>
          <w:tcPr>
            <w:tcW w:w="2693" w:type="dxa"/>
            <w:hideMark/>
          </w:tcPr>
          <w:p w14:paraId="4652A467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Gamified intervention improved mental health media literacy; accessible pedagogical approach identified.</w:t>
            </w:r>
          </w:p>
        </w:tc>
        <w:tc>
          <w:tcPr>
            <w:tcW w:w="1843" w:type="dxa"/>
            <w:hideMark/>
          </w:tcPr>
          <w:p w14:paraId="6B79D9CF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Mental health misinformation contributed to stigma and self-diagnosis errors; intervention addressed psychosocial dimensions.</w:t>
            </w:r>
          </w:p>
        </w:tc>
        <w:tc>
          <w:tcPr>
            <w:tcW w:w="1273" w:type="dxa"/>
            <w:hideMark/>
          </w:tcPr>
          <w:p w14:paraId="3CA5C499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Not assessed.</w:t>
            </w:r>
          </w:p>
        </w:tc>
        <w:tc>
          <w:tcPr>
            <w:tcW w:w="2409" w:type="dxa"/>
            <w:hideMark/>
          </w:tcPr>
          <w:p w14:paraId="3E73F8B9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 xml:space="preserve">Board </w:t>
            </w:r>
            <w:proofErr w:type="gramStart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game</w:t>
            </w:r>
            <w:proofErr w:type="gramEnd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 xml:space="preserve"> as gamified mental health literacy intervention; scalable, accessible counter-misinformation tool for adolescents.</w:t>
            </w:r>
          </w:p>
        </w:tc>
      </w:tr>
      <w:tr w:rsidR="006953AC" w:rsidRPr="00254C87" w14:paraId="3C0BFF8D" w14:textId="77777777" w:rsidTr="006953AC">
        <w:trPr>
          <w:trHeight w:val="720"/>
        </w:trPr>
        <w:tc>
          <w:tcPr>
            <w:tcW w:w="2320" w:type="dxa"/>
            <w:hideMark/>
          </w:tcPr>
          <w:p w14:paraId="2F30CC9C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Yu et al., 2025</w:t>
            </w:r>
          </w:p>
        </w:tc>
        <w:tc>
          <w:tcPr>
            <w:tcW w:w="2920" w:type="dxa"/>
            <w:hideMark/>
          </w:tcPr>
          <w:p w14:paraId="1C0ED397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 xml:space="preserve">Adolescents </w:t>
            </w:r>
            <w:proofErr w:type="gramStart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unable</w:t>
            </w:r>
            <w:proofErr w:type="gramEnd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 xml:space="preserve"> to distinguish AI-generated misinformation from accurate content; generative AI as novel misinformation risk vector.</w:t>
            </w:r>
          </w:p>
        </w:tc>
        <w:tc>
          <w:tcPr>
            <w:tcW w:w="2977" w:type="dxa"/>
            <w:hideMark/>
          </w:tcPr>
          <w:p w14:paraId="7FD817CD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Teens use GAI for emotional support and academics; AI-generated misinformation influenced beliefs and behaviors.</w:t>
            </w:r>
          </w:p>
        </w:tc>
        <w:tc>
          <w:tcPr>
            <w:tcW w:w="2693" w:type="dxa"/>
            <w:hideMark/>
          </w:tcPr>
          <w:p w14:paraId="20160C69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Critical evaluation of AI-generated content largely absent; significant AI literacy gap identified.</w:t>
            </w:r>
          </w:p>
        </w:tc>
        <w:tc>
          <w:tcPr>
            <w:tcW w:w="1843" w:type="dxa"/>
            <w:hideMark/>
          </w:tcPr>
          <w:p w14:paraId="08E6D238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Emotional dependence on AI chatbots; psychological risks from AI-generated misinformation in emotional support contexts.</w:t>
            </w:r>
          </w:p>
        </w:tc>
        <w:tc>
          <w:tcPr>
            <w:tcW w:w="1273" w:type="dxa"/>
            <w:hideMark/>
          </w:tcPr>
          <w:p w14:paraId="1A1B590E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CENTRAL FOCUS: Generative AI as emerging misinformation vector; algorithmic AI content generation as novel adolescent risk.</w:t>
            </w:r>
          </w:p>
        </w:tc>
        <w:tc>
          <w:tcPr>
            <w:tcW w:w="2409" w:type="dxa"/>
            <w:hideMark/>
          </w:tcPr>
          <w:p w14:paraId="26343618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Design implications for safer GAI for adolescents; parental monitoring tools and AI literacy education recommended.</w:t>
            </w:r>
          </w:p>
        </w:tc>
      </w:tr>
      <w:tr w:rsidR="006953AC" w:rsidRPr="00254C87" w14:paraId="56560295" w14:textId="77777777" w:rsidTr="006953AC">
        <w:trPr>
          <w:trHeight w:val="960"/>
        </w:trPr>
        <w:tc>
          <w:tcPr>
            <w:tcW w:w="2320" w:type="dxa"/>
            <w:hideMark/>
          </w:tcPr>
          <w:p w14:paraId="33578CFB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proofErr w:type="spellStart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Yurtdas-Depboylu</w:t>
            </w:r>
            <w:proofErr w:type="spellEnd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 xml:space="preserve"> et al., 2022</w:t>
            </w:r>
          </w:p>
        </w:tc>
        <w:tc>
          <w:tcPr>
            <w:tcW w:w="2920" w:type="dxa"/>
            <w:hideMark/>
          </w:tcPr>
          <w:p w14:paraId="5C8B285D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Idealized body standards and unverified nutrition advice on social media associated with distorted body image and health risk behavior.</w:t>
            </w:r>
          </w:p>
        </w:tc>
        <w:tc>
          <w:tcPr>
            <w:tcW w:w="2977" w:type="dxa"/>
            <w:hideMark/>
          </w:tcPr>
          <w:p w14:paraId="619863AE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proofErr w:type="spellStart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Orthorexic</w:t>
            </w:r>
            <w:proofErr w:type="spellEnd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 xml:space="preserve"> behaviors and disordered eating attitudes significantly associated with social media addiction; food restriction behaviors.</w:t>
            </w:r>
          </w:p>
        </w:tc>
        <w:tc>
          <w:tcPr>
            <w:tcW w:w="2693" w:type="dxa"/>
            <w:hideMark/>
          </w:tcPr>
          <w:p w14:paraId="2E34F9A1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Not specifically assessed; social media addiction rather than critical evaluation as primary focus.</w:t>
            </w:r>
          </w:p>
        </w:tc>
        <w:tc>
          <w:tcPr>
            <w:tcW w:w="1843" w:type="dxa"/>
            <w:hideMark/>
          </w:tcPr>
          <w:p w14:paraId="41597326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Body image dissatisfaction, eating pathology, and psychological distress linked to social media addiction. CENTRAL FINDING.</w:t>
            </w:r>
          </w:p>
        </w:tc>
        <w:tc>
          <w:tcPr>
            <w:tcW w:w="1273" w:type="dxa"/>
            <w:hideMark/>
          </w:tcPr>
          <w:p w14:paraId="1FA35498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Not assessed.</w:t>
            </w:r>
          </w:p>
        </w:tc>
        <w:tc>
          <w:tcPr>
            <w:tcW w:w="2409" w:type="dxa"/>
            <w:hideMark/>
          </w:tcPr>
          <w:p w14:paraId="57F11240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Social media literacy programs targeting nutritional and body image misinformation; clinical screening for social media addiction in eating disorder contexts.</w:t>
            </w:r>
          </w:p>
        </w:tc>
      </w:tr>
      <w:tr w:rsidR="006953AC" w:rsidRPr="00254C87" w14:paraId="1F487673" w14:textId="77777777" w:rsidTr="006953AC">
        <w:trPr>
          <w:trHeight w:val="720"/>
        </w:trPr>
        <w:tc>
          <w:tcPr>
            <w:tcW w:w="2320" w:type="dxa"/>
            <w:hideMark/>
          </w:tcPr>
          <w:p w14:paraId="3CADE618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proofErr w:type="spellStart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lastRenderedPageBreak/>
              <w:t>Zamponi</w:t>
            </w:r>
            <w:proofErr w:type="spellEnd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 xml:space="preserve"> et al., 2024</w:t>
            </w:r>
          </w:p>
        </w:tc>
        <w:tc>
          <w:tcPr>
            <w:tcW w:w="2920" w:type="dxa"/>
            <w:hideMark/>
          </w:tcPr>
          <w:p w14:paraId="03C96F54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 xml:space="preserve">Social media SRH misinformation </w:t>
            </w:r>
            <w:proofErr w:type="gramStart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associated</w:t>
            </w:r>
            <w:proofErr w:type="gramEnd"/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 xml:space="preserve"> with misconceptions about contraception, reproductive function, and sexual health risks.</w:t>
            </w:r>
          </w:p>
        </w:tc>
        <w:tc>
          <w:tcPr>
            <w:tcW w:w="2977" w:type="dxa"/>
            <w:hideMark/>
          </w:tcPr>
          <w:p w14:paraId="61C0AE5F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SRH information-seeking via social media in absence of formal education; improved health behaviors post-intervention.</w:t>
            </w:r>
          </w:p>
        </w:tc>
        <w:tc>
          <w:tcPr>
            <w:tcW w:w="2693" w:type="dxa"/>
            <w:hideMark/>
          </w:tcPr>
          <w:p w14:paraId="37EE6FF1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Social media primary SRH source; limited critical evaluation; educational intervention improved health literacy.</w:t>
            </w:r>
          </w:p>
        </w:tc>
        <w:tc>
          <w:tcPr>
            <w:tcW w:w="1843" w:type="dxa"/>
            <w:hideMark/>
          </w:tcPr>
          <w:p w14:paraId="51494CF0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Not specifically assessed.</w:t>
            </w:r>
          </w:p>
        </w:tc>
        <w:tc>
          <w:tcPr>
            <w:tcW w:w="1273" w:type="dxa"/>
            <w:hideMark/>
          </w:tcPr>
          <w:p w14:paraId="04196B9B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Not assessed.</w:t>
            </w:r>
          </w:p>
        </w:tc>
        <w:tc>
          <w:tcPr>
            <w:tcW w:w="2409" w:type="dxa"/>
            <w:hideMark/>
          </w:tcPr>
          <w:p w14:paraId="5E41D9AC" w14:textId="77777777" w:rsidR="006953AC" w:rsidRPr="00254C87" w:rsidRDefault="006953AC" w:rsidP="006953AC">
            <w:pPr>
              <w:spacing w:after="0" w:line="240" w:lineRule="auto"/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</w:pPr>
            <w:r w:rsidRPr="00254C87">
              <w:rPr>
                <w:rFonts w:ascii="Arial Narrow" w:eastAsia="Times New Roman" w:hAnsi="Arial Narrow" w:cs="Arial"/>
                <w:kern w:val="0"/>
                <w:sz w:val="20"/>
                <w:szCs w:val="20"/>
                <w:lang w:val="en-US" w:eastAsia="es-CL"/>
                <w14:ligatures w14:val="none"/>
              </w:rPr>
              <w:t>Longitudinal sexual education program as effective intervention; reduces dependence on potentially misinforming social media.</w:t>
            </w:r>
          </w:p>
        </w:tc>
      </w:tr>
    </w:tbl>
    <w:p w14:paraId="1D9A3AF5" w14:textId="77777777" w:rsidR="006953AC" w:rsidRPr="00254C87" w:rsidRDefault="006953AC">
      <w:pPr>
        <w:rPr>
          <w:lang w:val="en-US"/>
        </w:rPr>
      </w:pPr>
    </w:p>
    <w:sectPr w:rsidR="006953AC" w:rsidRPr="00254C87" w:rsidSect="006953AC">
      <w:pgSz w:w="20160" w:h="12240" w:orient="landscape" w:code="121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3AC"/>
    <w:rsid w:val="000F48B3"/>
    <w:rsid w:val="00140796"/>
    <w:rsid w:val="00180F06"/>
    <w:rsid w:val="00254C87"/>
    <w:rsid w:val="00621122"/>
    <w:rsid w:val="006953AC"/>
    <w:rsid w:val="007639CF"/>
    <w:rsid w:val="00AF5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2CEA0"/>
  <w15:chartTrackingRefBased/>
  <w15:docId w15:val="{AD9BB87E-6872-491C-997C-57FD21151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953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953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953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953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953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953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953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953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953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953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953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953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953A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953A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953A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953A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953A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953A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953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953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953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953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953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953A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953A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953A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953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953A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953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2521</Words>
  <Characters>13870</Characters>
  <Application>Microsoft Office Word</Application>
  <DocSecurity>0</DocSecurity>
  <Lines>115</Lines>
  <Paragraphs>32</Paragraphs>
  <ScaleCrop>false</ScaleCrop>
  <Company/>
  <LinksUpToDate>false</LinksUpToDate>
  <CharactersWithSpaces>16359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Alain Chaple</dc:creator>
  <cp:keywords/>
  <dc:description/>
  <cp:lastModifiedBy>Alain Chaple</cp:lastModifiedBy>
  <cp:revision>3</cp:revision>
  <dcterms:created xsi:type="dcterms:W3CDTF">2026-05-14T21:40:00Z</dcterms:created>
  <dcterms:modified xsi:type="dcterms:W3CDTF">2026-05-14T21:47:00Z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509cf4e2-cfb9-444c-979e-f152c8160eef</vt:lpwstr>
  </property>
</Properties>
</file>